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keepNext w:val="0"/>
        <w:keepLines w:val="0"/>
        <w:widowControl/>
        <w:suppressLineNumbers w:val="0"/>
        <w:snapToGrid w:val="0"/>
        <w:spacing w:before="0" w:beforeAutospacing="1" w:after="0" w:afterAutospacing="1" w:line="600" w:lineRule="atLeast"/>
        <w:ind w:left="0" w:right="24" w:firstLine="320" w:firstLineChars="100"/>
        <w:jc w:val="left"/>
        <w:rPr>
          <w:rFonts w:hint="eastAsia" w:ascii="仿宋_GB2312" w:eastAsia="仿宋_GB2312" w:cs="仿宋_GB2312"/>
          <w:kern w:val="0"/>
          <w:sz w:val="32"/>
          <w:szCs w:val="32"/>
        </w:rPr>
      </w:pPr>
      <w:r>
        <w:rPr>
          <w:rFonts w:hint="eastAsia" w:ascii="仿宋_GB2312" w:hAnsi="仿宋_GB2312" w:eastAsia="仿宋_GB2312" w:cs="仿宋_GB2312"/>
          <w:kern w:val="0"/>
          <w:sz w:val="32"/>
          <w:szCs w:val="32"/>
          <w:lang w:val="en-US" w:eastAsia="zh-CN" w:bidi="ar"/>
        </w:rPr>
        <w:t xml:space="preserve">附件1 </w:t>
      </w:r>
    </w:p>
    <w:p>
      <w:pPr>
        <w:keepNext w:val="0"/>
        <w:keepLines w:val="0"/>
        <w:widowControl/>
        <w:suppressLineNumbers w:val="0"/>
        <w:snapToGrid w:val="0"/>
        <w:spacing w:before="0" w:beforeAutospacing="1" w:after="0" w:afterAutospacing="1" w:line="600" w:lineRule="atLeast"/>
        <w:ind w:left="0" w:right="24"/>
        <w:jc w:val="left"/>
        <w:rPr>
          <w:rFonts w:hint="eastAsia" w:ascii="仿宋_GB2312" w:eastAsia="仿宋_GB2312" w:cs="仿宋_GB2312"/>
          <w:kern w:val="0"/>
          <w:sz w:val="32"/>
          <w:szCs w:val="32"/>
        </w:rPr>
      </w:pP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line="600" w:lineRule="atLeast"/>
        <w:ind w:left="0" w:right="24"/>
        <w:jc w:val="left"/>
        <w:rPr>
          <w:rFonts w:hint="eastAsia" w:ascii="仿宋_GB2312" w:eastAsia="仿宋_GB2312" w:cs="仿宋_GB2312"/>
          <w:kern w:val="0"/>
          <w:sz w:val="32"/>
          <w:szCs w:val="32"/>
        </w:rPr>
      </w:pP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line="600" w:lineRule="atLeast"/>
        <w:ind w:left="0" w:right="24"/>
        <w:jc w:val="left"/>
        <w:rPr>
          <w:rFonts w:hint="eastAsia" w:ascii="仿宋_GB2312" w:eastAsia="仿宋_GB2312" w:cs="仿宋_GB2312"/>
          <w:kern w:val="0"/>
          <w:sz w:val="24"/>
          <w:szCs w:val="24"/>
        </w:rPr>
      </w:pPr>
      <w:r>
        <w:rPr>
          <w:rFonts w:hint="eastAsia" w:ascii="仿宋_GB2312" w:hAnsi="仿宋_GB2312" w:eastAsia="仿宋_GB2312" w:cs="仿宋_GB2312"/>
          <w:kern w:val="0"/>
          <w:sz w:val="24"/>
          <w:szCs w:val="24"/>
          <w:lang w:val="en-US" w:eastAsia="zh-CN" w:bidi="ar"/>
        </w:rPr>
        <w:t xml:space="preserve"> </w:t>
      </w:r>
    </w:p>
    <w:p>
      <w:pPr>
        <w:keepNext w:val="0"/>
        <w:keepLines w:val="0"/>
        <w:widowControl/>
        <w:suppressLineNumbers w:val="0"/>
        <w:snapToGrid w:val="0"/>
        <w:spacing w:before="0" w:beforeAutospacing="1" w:after="0" w:afterAutospacing="1" w:line="560" w:lineRule="atLeast"/>
        <w:ind w:left="0" w:right="0"/>
        <w:jc w:val="center"/>
        <w:rPr>
          <w:rFonts w:hint="eastAsia" w:ascii="仿宋_GB2312" w:eastAsia="仿宋_GB2312" w:cs="仿宋_GB2312"/>
          <w:kern w:val="0"/>
          <w:sz w:val="24"/>
          <w:szCs w:val="24"/>
        </w:rPr>
      </w:pPr>
      <w:r>
        <w:rPr>
          <w:rFonts w:hint="eastAsia" w:ascii="黑体" w:hAnsi="宋体" w:eastAsia="黑体" w:cs="黑体"/>
          <w:color w:val="000000"/>
          <w:kern w:val="0"/>
          <w:sz w:val="48"/>
          <w:szCs w:val="48"/>
          <w:lang w:val="en-US" w:eastAsia="zh-CN" w:bidi="ar"/>
        </w:rPr>
        <w:t>2019年度武汉市洪山区融媒体中心部门决算</w:t>
      </w:r>
    </w:p>
    <w:p>
      <w:pPr>
        <w:keepNext w:val="0"/>
        <w:keepLines w:val="0"/>
        <w:widowControl/>
        <w:suppressLineNumbers w:val="0"/>
        <w:snapToGrid w:val="0"/>
        <w:spacing w:before="0" w:beforeAutospacing="1" w:after="0" w:afterAutospacing="1" w:line="560" w:lineRule="atLeast"/>
        <w:ind w:left="0" w:right="0"/>
        <w:jc w:val="center"/>
        <w:rPr>
          <w:rFonts w:hint="eastAsia" w:asci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bidi="ar"/>
        </w:rPr>
        <w:t xml:space="preserve"> </w:t>
      </w:r>
    </w:p>
    <w:p>
      <w:pPr>
        <w:keepNext w:val="0"/>
        <w:keepLines w:val="0"/>
        <w:widowControl/>
        <w:suppressLineNumbers w:val="0"/>
        <w:snapToGrid w:val="0"/>
        <w:spacing w:before="0" w:beforeAutospacing="1" w:after="0" w:afterAutospacing="1" w:line="560" w:lineRule="atLeast"/>
        <w:ind w:left="0" w:right="0"/>
        <w:jc w:val="center"/>
        <w:rPr>
          <w:rFonts w:hint="eastAsia" w:asci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bidi="ar"/>
        </w:rPr>
        <w:t xml:space="preserve"> </w:t>
      </w:r>
    </w:p>
    <w:p>
      <w:pPr>
        <w:keepNext w:val="0"/>
        <w:keepLines w:val="0"/>
        <w:widowControl/>
        <w:suppressLineNumbers w:val="0"/>
        <w:snapToGrid w:val="0"/>
        <w:spacing w:before="0" w:beforeAutospacing="1" w:after="0" w:afterAutospacing="1" w:line="560" w:lineRule="atLeast"/>
        <w:ind w:left="0" w:right="0"/>
        <w:jc w:val="center"/>
        <w:rPr>
          <w:rFonts w:hint="eastAsia" w:asci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bidi="ar"/>
        </w:rPr>
        <w:t xml:space="preserve"> </w:t>
      </w:r>
    </w:p>
    <w:p>
      <w:pPr>
        <w:keepNext w:val="0"/>
        <w:keepLines w:val="0"/>
        <w:widowControl/>
        <w:suppressLineNumbers w:val="0"/>
        <w:snapToGrid w:val="0"/>
        <w:spacing w:before="0" w:beforeAutospacing="1" w:after="0" w:afterAutospacing="1" w:line="560" w:lineRule="atLeast"/>
        <w:ind w:left="0" w:right="0"/>
        <w:jc w:val="center"/>
        <w:rPr>
          <w:rFonts w:hint="eastAsia" w:asci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bidi="ar"/>
        </w:rPr>
        <w:t xml:space="preserve"> </w:t>
      </w:r>
    </w:p>
    <w:p>
      <w:pPr>
        <w:keepNext w:val="0"/>
        <w:keepLines w:val="0"/>
        <w:widowControl/>
        <w:suppressLineNumbers w:val="0"/>
        <w:snapToGrid w:val="0"/>
        <w:spacing w:before="0" w:beforeAutospacing="1" w:after="0" w:afterAutospacing="1" w:line="560" w:lineRule="atLeast"/>
        <w:ind w:left="0" w:right="0"/>
        <w:jc w:val="center"/>
        <w:rPr>
          <w:rFonts w:hint="eastAsia" w:asci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kern w:val="0"/>
          <w:sz w:val="24"/>
          <w:szCs w:val="24"/>
          <w:lang w:val="en-US" w:eastAsia="zh-CN" w:bidi="ar"/>
        </w:rPr>
        <w:t xml:space="preserve"> </w:t>
      </w:r>
    </w:p>
    <w:p>
      <w:pPr>
        <w:keepNext w:val="0"/>
        <w:keepLines w:val="0"/>
        <w:widowControl/>
        <w:suppressLineNumbers w:val="0"/>
        <w:snapToGrid w:val="0"/>
        <w:spacing w:before="0" w:beforeAutospacing="1" w:after="0" w:afterAutospacing="1" w:line="560" w:lineRule="atLeast"/>
        <w:ind w:left="0" w:right="0"/>
        <w:jc w:val="center"/>
        <w:rPr>
          <w:rFonts w:hint="eastAsia" w:ascii="仿宋_GB2312" w:hAnsi="仿宋_GB2312" w:eastAsia="仿宋_GB2312" w:cs="仿宋_GB2312"/>
          <w:color w:val="000000"/>
          <w:kern w:val="0"/>
          <w:sz w:val="32"/>
          <w:szCs w:val="32"/>
          <w:lang w:val="en-US" w:eastAsia="zh-CN" w:bidi="ar"/>
        </w:rPr>
      </w:pPr>
    </w:p>
    <w:p>
      <w:pPr>
        <w:keepNext w:val="0"/>
        <w:keepLines w:val="0"/>
        <w:widowControl/>
        <w:suppressLineNumbers w:val="0"/>
        <w:snapToGrid w:val="0"/>
        <w:spacing w:before="0" w:beforeAutospacing="1" w:after="0" w:afterAutospacing="1" w:line="560" w:lineRule="atLeast"/>
        <w:ind w:left="0" w:right="0"/>
        <w:jc w:val="center"/>
        <w:rPr>
          <w:rFonts w:hint="eastAsia" w:ascii="仿宋_GB2312" w:hAnsi="仿宋_GB2312" w:eastAsia="仿宋_GB2312" w:cs="仿宋_GB2312"/>
          <w:color w:val="000000"/>
          <w:kern w:val="0"/>
          <w:sz w:val="32"/>
          <w:szCs w:val="32"/>
          <w:lang w:val="en-US" w:eastAsia="zh-CN" w:bidi="ar"/>
        </w:rPr>
      </w:pPr>
    </w:p>
    <w:p>
      <w:pPr>
        <w:keepNext w:val="0"/>
        <w:keepLines w:val="0"/>
        <w:widowControl/>
        <w:suppressLineNumbers w:val="0"/>
        <w:snapToGrid w:val="0"/>
        <w:spacing w:before="0" w:beforeAutospacing="1" w:after="0" w:afterAutospacing="1" w:line="560" w:lineRule="atLeast"/>
        <w:ind w:left="0" w:right="0"/>
        <w:jc w:val="center"/>
        <w:rPr>
          <w:rFonts w:hint="eastAsia" w:ascii="仿宋_GB2312" w:hAnsi="仿宋_GB2312" w:eastAsia="仿宋_GB2312" w:cs="仿宋_GB2312"/>
          <w:color w:val="000000"/>
          <w:kern w:val="0"/>
          <w:sz w:val="32"/>
          <w:szCs w:val="32"/>
          <w:lang w:val="en-US" w:eastAsia="zh-CN" w:bidi="ar"/>
        </w:rPr>
      </w:pPr>
    </w:p>
    <w:p>
      <w:pPr>
        <w:keepNext w:val="0"/>
        <w:keepLines w:val="0"/>
        <w:widowControl/>
        <w:suppressLineNumbers w:val="0"/>
        <w:snapToGrid w:val="0"/>
        <w:spacing w:before="0" w:beforeAutospacing="1" w:after="0" w:afterAutospacing="1" w:line="560" w:lineRule="atLeast"/>
        <w:ind w:left="0" w:right="0"/>
        <w:jc w:val="center"/>
        <w:rPr>
          <w:rFonts w:hint="eastAsia" w:ascii="仿宋_GB2312" w:hAnsi="仿宋_GB2312" w:eastAsia="仿宋_GB2312" w:cs="仿宋_GB2312"/>
          <w:color w:val="000000"/>
          <w:kern w:val="0"/>
          <w:sz w:val="32"/>
          <w:szCs w:val="32"/>
          <w:lang w:val="en-US" w:eastAsia="zh-CN" w:bidi="ar"/>
        </w:rPr>
      </w:pPr>
    </w:p>
    <w:p>
      <w:pPr>
        <w:keepNext w:val="0"/>
        <w:keepLines w:val="0"/>
        <w:widowControl/>
        <w:suppressLineNumbers w:val="0"/>
        <w:snapToGrid w:val="0"/>
        <w:spacing w:before="0" w:beforeAutospacing="1" w:after="0" w:afterAutospacing="1" w:line="560" w:lineRule="atLeast"/>
        <w:ind w:left="0" w:right="0"/>
        <w:jc w:val="center"/>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2020年9月2</w:t>
      </w:r>
      <w:r>
        <w:rPr>
          <w:rFonts w:hint="eastAsia" w:cs="仿宋_GB2312"/>
          <w:color w:val="000000"/>
          <w:kern w:val="0"/>
          <w:sz w:val="32"/>
          <w:szCs w:val="32"/>
          <w:lang w:val="en-US" w:eastAsia="zh-CN" w:bidi="ar"/>
        </w:rPr>
        <w:t>9</w:t>
      </w:r>
      <w:r>
        <w:rPr>
          <w:rFonts w:hint="eastAsia" w:ascii="仿宋_GB2312" w:hAnsi="仿宋_GB2312" w:eastAsia="仿宋_GB2312" w:cs="仿宋_GB2312"/>
          <w:color w:val="000000"/>
          <w:kern w:val="0"/>
          <w:sz w:val="32"/>
          <w:szCs w:val="32"/>
          <w:lang w:val="en-US" w:eastAsia="zh-CN" w:bidi="ar"/>
        </w:rPr>
        <w:t>日</w:t>
      </w:r>
    </w:p>
    <w:p>
      <w:pPr>
        <w:pStyle w:val="10"/>
        <w:keepNext w:val="0"/>
        <w:keepLines w:val="0"/>
        <w:widowControl/>
        <w:suppressLineNumbers w:val="0"/>
        <w:snapToGrid w:val="0"/>
        <w:spacing w:before="0" w:beforeAutospacing="1" w:after="0" w:afterAutospacing="1"/>
        <w:ind w:left="0" w:right="0"/>
        <w:jc w:val="left"/>
        <w:rPr>
          <w:rFonts w:hint="eastAsia" w:ascii="宋体" w:hAnsi="宋体" w:eastAsia="宋体" w:cs="宋体"/>
          <w:b/>
          <w:kern w:val="44"/>
          <w:sz w:val="48"/>
          <w:szCs w:val="48"/>
        </w:rPr>
      </w:pPr>
      <w:r>
        <w:rPr>
          <w:rFonts w:hint="eastAsia" w:ascii="仿宋_GB2312" w:eastAsia="仿宋_GB2312" w:cs="仿宋_GB2312"/>
          <w:kern w:val="0"/>
          <w:sz w:val="24"/>
          <w:szCs w:val="24"/>
          <w:lang w:val="en-US" w:eastAsia="zh-CN" w:bidi="ar"/>
        </w:rPr>
        <w:t xml:space="preserve"> </w:t>
      </w:r>
      <w:r>
        <w:rPr>
          <w:rFonts w:hint="eastAsia" w:cs="仿宋_GB2312"/>
          <w:kern w:val="0"/>
          <w:sz w:val="24"/>
          <w:szCs w:val="24"/>
          <w:lang w:val="en-US" w:eastAsia="zh-CN" w:bidi="ar"/>
        </w:rPr>
        <w:t xml:space="preserve">                        </w:t>
      </w:r>
      <w:r>
        <w:rPr>
          <w:rFonts w:hint="eastAsia" w:ascii="黑体" w:hAnsi="宋体" w:eastAsia="黑体" w:cs="黑体"/>
          <w:b w:val="0"/>
          <w:kern w:val="44"/>
          <w:sz w:val="48"/>
          <w:szCs w:val="48"/>
        </w:rPr>
        <w:t>目    录</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第一部分  武汉市洪山区融媒体中心概况</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一、部门主要职能</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二、部门决算单位构成</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三、部门人员构成</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第二部分  武汉市洪山区融媒体中心2019年度部门决算表</w:t>
      </w:r>
    </w:p>
    <w:p>
      <w:pPr>
        <w:keepNext w:val="0"/>
        <w:keepLines w:val="0"/>
        <w:widowControl/>
        <w:suppressLineNumbers w:val="0"/>
        <w:snapToGrid w:val="0"/>
        <w:spacing w:before="0" w:beforeAutospacing="1" w:after="0" w:afterAutospacing="1" w:line="580" w:lineRule="atLeast"/>
        <w:ind w:left="0" w:right="-512"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一、收入支出决算总表(表1)</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二、收入决算表(表2)</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三、支出决算表(表3)</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四、财政拨款收入支出决算总表(表4)</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五、一般公共预算财政拨款支出决算表(表5)</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六、一般公共预算财政拨款基本支出决算表(表6)</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七、一般公共预算财政拨款“三公”经费支出决算表(表7)</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八、政府性基金预算财政拨款收入支出决算表(表8)</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第三部分  武汉市洪山区融媒体中心2019年度部门决算情况说明</w:t>
      </w:r>
    </w:p>
    <w:p>
      <w:pPr>
        <w:pStyle w:val="10"/>
        <w:keepNext w:val="0"/>
        <w:keepLines w:val="0"/>
        <w:widowControl/>
        <w:suppressLineNumbers w:val="0"/>
        <w:snapToGrid w:val="0"/>
        <w:spacing w:before="0" w:beforeAutospacing="1" w:after="0" w:afterAutospacing="1" w:line="580" w:lineRule="atLeast"/>
        <w:ind w:left="0" w:right="0" w:firstLine="640"/>
        <w:jc w:val="both"/>
        <w:rPr>
          <w:rFonts w:hint="eastAsia" w:ascii="仿宋_GB2312" w:eastAsia="仿宋_GB2312" w:cs="仿宋_GB2312"/>
          <w:kern w:val="0"/>
          <w:sz w:val="24"/>
          <w:szCs w:val="24"/>
        </w:rPr>
      </w:pPr>
      <w:r>
        <w:rPr>
          <w:rFonts w:hint="eastAsia" w:ascii="仿宋_GB2312" w:eastAsia="仿宋_GB2312" w:cs="仿宋_GB2312"/>
          <w:kern w:val="0"/>
          <w:sz w:val="32"/>
          <w:szCs w:val="32"/>
          <w:lang w:val="en-US" w:eastAsia="zh-CN" w:bidi="ar"/>
        </w:rPr>
        <w:t xml:space="preserve">一、收入支出决算总体情况说明 </w:t>
      </w:r>
    </w:p>
    <w:p>
      <w:pPr>
        <w:pStyle w:val="10"/>
        <w:keepNext w:val="0"/>
        <w:keepLines w:val="0"/>
        <w:widowControl/>
        <w:suppressLineNumbers w:val="0"/>
        <w:snapToGrid w:val="0"/>
        <w:spacing w:before="0" w:beforeAutospacing="1" w:after="0" w:afterAutospacing="1" w:line="580" w:lineRule="atLeast"/>
        <w:ind w:left="0" w:right="0" w:firstLine="640"/>
        <w:jc w:val="both"/>
        <w:rPr>
          <w:rFonts w:hint="eastAsia" w:ascii="仿宋_GB2312" w:eastAsia="仿宋_GB2312" w:cs="仿宋_GB2312"/>
          <w:kern w:val="0"/>
          <w:sz w:val="24"/>
          <w:szCs w:val="24"/>
        </w:rPr>
      </w:pPr>
      <w:r>
        <w:rPr>
          <w:rFonts w:hint="eastAsia" w:ascii="仿宋_GB2312" w:eastAsia="仿宋_GB2312" w:cs="仿宋_GB2312"/>
          <w:kern w:val="0"/>
          <w:sz w:val="32"/>
          <w:szCs w:val="32"/>
          <w:lang w:val="en-US" w:eastAsia="zh-CN" w:bidi="ar"/>
        </w:rPr>
        <w:t>二、收入决算情况说明</w:t>
      </w:r>
    </w:p>
    <w:p>
      <w:pPr>
        <w:pStyle w:val="10"/>
        <w:keepNext w:val="0"/>
        <w:keepLines w:val="0"/>
        <w:widowControl/>
        <w:suppressLineNumbers w:val="0"/>
        <w:snapToGrid w:val="0"/>
        <w:spacing w:before="0" w:beforeAutospacing="1" w:after="0" w:afterAutospacing="1" w:line="580" w:lineRule="atLeast"/>
        <w:ind w:left="0" w:right="0" w:firstLine="640"/>
        <w:jc w:val="both"/>
        <w:rPr>
          <w:rFonts w:hint="eastAsia" w:ascii="仿宋_GB2312" w:eastAsia="仿宋_GB2312" w:cs="仿宋_GB2312"/>
          <w:kern w:val="0"/>
          <w:sz w:val="24"/>
          <w:szCs w:val="24"/>
        </w:rPr>
      </w:pPr>
      <w:r>
        <w:rPr>
          <w:rFonts w:hint="eastAsia" w:ascii="仿宋_GB2312" w:eastAsia="仿宋_GB2312" w:cs="仿宋_GB2312"/>
          <w:kern w:val="0"/>
          <w:sz w:val="32"/>
          <w:szCs w:val="32"/>
          <w:lang w:val="en-US" w:eastAsia="zh-CN" w:bidi="ar"/>
        </w:rPr>
        <w:t>三、支出决算情况说明</w:t>
      </w:r>
    </w:p>
    <w:p>
      <w:pPr>
        <w:pStyle w:val="10"/>
        <w:keepNext w:val="0"/>
        <w:keepLines w:val="0"/>
        <w:widowControl/>
        <w:suppressLineNumbers w:val="0"/>
        <w:snapToGrid w:val="0"/>
        <w:spacing w:before="0" w:beforeAutospacing="1" w:after="0" w:afterAutospacing="1" w:line="580" w:lineRule="atLeast"/>
        <w:ind w:left="0" w:right="0" w:firstLine="640"/>
        <w:jc w:val="both"/>
        <w:rPr>
          <w:rFonts w:hint="eastAsia" w:ascii="仿宋_GB2312" w:eastAsia="仿宋_GB2312" w:cs="仿宋_GB2312"/>
          <w:kern w:val="0"/>
          <w:sz w:val="24"/>
          <w:szCs w:val="24"/>
        </w:rPr>
      </w:pPr>
      <w:r>
        <w:rPr>
          <w:rFonts w:hint="eastAsia" w:ascii="仿宋_GB2312" w:eastAsia="仿宋_GB2312" w:cs="仿宋_GB2312"/>
          <w:kern w:val="0"/>
          <w:sz w:val="32"/>
          <w:szCs w:val="32"/>
          <w:lang w:val="en-US" w:eastAsia="zh-CN" w:bidi="ar"/>
        </w:rPr>
        <w:t>四、财政拨款收入支出决算总体情况说明</w:t>
      </w:r>
    </w:p>
    <w:p>
      <w:pPr>
        <w:pStyle w:val="10"/>
        <w:keepNext w:val="0"/>
        <w:keepLines w:val="0"/>
        <w:widowControl/>
        <w:suppressLineNumbers w:val="0"/>
        <w:snapToGrid w:val="0"/>
        <w:spacing w:before="0" w:beforeAutospacing="1" w:after="0" w:afterAutospacing="1" w:line="580" w:lineRule="atLeast"/>
        <w:ind w:left="0" w:right="0" w:firstLine="640"/>
        <w:jc w:val="both"/>
        <w:rPr>
          <w:rFonts w:hint="eastAsia" w:ascii="仿宋_GB2312" w:eastAsia="仿宋_GB2312" w:cs="仿宋_GB2312"/>
          <w:kern w:val="0"/>
          <w:sz w:val="24"/>
          <w:szCs w:val="24"/>
        </w:rPr>
      </w:pPr>
      <w:r>
        <w:rPr>
          <w:rFonts w:hint="eastAsia" w:ascii="仿宋_GB2312" w:eastAsia="仿宋_GB2312" w:cs="仿宋_GB2312"/>
          <w:kern w:val="0"/>
          <w:sz w:val="32"/>
          <w:szCs w:val="32"/>
          <w:lang w:val="en-US" w:eastAsia="zh-CN" w:bidi="ar"/>
        </w:rPr>
        <w:t>五、一般公共预算财政拨款支出决算情况说明</w:t>
      </w:r>
    </w:p>
    <w:p>
      <w:pPr>
        <w:pStyle w:val="10"/>
        <w:keepNext w:val="0"/>
        <w:keepLines w:val="0"/>
        <w:widowControl/>
        <w:suppressLineNumbers w:val="0"/>
        <w:snapToGrid w:val="0"/>
        <w:spacing w:before="0" w:beforeAutospacing="1" w:after="0" w:afterAutospacing="1" w:line="580" w:lineRule="atLeast"/>
        <w:ind w:left="0" w:right="0" w:firstLine="640"/>
        <w:jc w:val="both"/>
        <w:rPr>
          <w:rFonts w:hint="eastAsia" w:ascii="仿宋_GB2312" w:eastAsia="仿宋_GB2312" w:cs="仿宋_GB2312"/>
          <w:kern w:val="0"/>
          <w:sz w:val="24"/>
          <w:szCs w:val="24"/>
        </w:rPr>
      </w:pPr>
      <w:r>
        <w:rPr>
          <w:rFonts w:hint="eastAsia" w:ascii="仿宋_GB2312" w:eastAsia="仿宋_GB2312" w:cs="仿宋_GB2312"/>
          <w:kern w:val="0"/>
          <w:sz w:val="32"/>
          <w:szCs w:val="32"/>
          <w:lang w:val="en-US" w:eastAsia="zh-CN" w:bidi="ar"/>
        </w:rPr>
        <w:t>六、一般公共预算财政拨款基本支出决算情况说明</w:t>
      </w:r>
    </w:p>
    <w:p>
      <w:pPr>
        <w:pStyle w:val="10"/>
        <w:keepNext w:val="0"/>
        <w:keepLines w:val="0"/>
        <w:widowControl/>
        <w:suppressLineNumbers w:val="0"/>
        <w:snapToGrid w:val="0"/>
        <w:spacing w:before="0" w:beforeAutospacing="1" w:after="0" w:afterAutospacing="1" w:line="580" w:lineRule="atLeast"/>
        <w:ind w:left="0" w:right="0" w:firstLine="640"/>
        <w:jc w:val="both"/>
        <w:rPr>
          <w:rFonts w:hint="eastAsia" w:ascii="仿宋_GB2312" w:eastAsia="仿宋_GB2312" w:cs="仿宋_GB2312"/>
          <w:kern w:val="0"/>
          <w:sz w:val="24"/>
          <w:szCs w:val="24"/>
        </w:rPr>
      </w:pPr>
      <w:r>
        <w:rPr>
          <w:rFonts w:hint="eastAsia" w:ascii="仿宋_GB2312" w:eastAsia="仿宋_GB2312" w:cs="仿宋_GB2312"/>
          <w:kern w:val="0"/>
          <w:sz w:val="32"/>
          <w:szCs w:val="32"/>
          <w:lang w:val="en-US" w:eastAsia="zh-CN" w:bidi="ar"/>
        </w:rPr>
        <w:t xml:space="preserve">七、一般公共预算财政拨款“三公”经费支出决算情况说明 </w:t>
      </w:r>
    </w:p>
    <w:p>
      <w:pPr>
        <w:pStyle w:val="10"/>
        <w:keepNext w:val="0"/>
        <w:keepLines w:val="0"/>
        <w:widowControl/>
        <w:suppressLineNumbers w:val="0"/>
        <w:snapToGrid w:val="0"/>
        <w:spacing w:before="0" w:beforeAutospacing="1" w:after="0" w:afterAutospacing="1" w:line="580" w:lineRule="atLeast"/>
        <w:ind w:left="0" w:right="0" w:firstLine="640"/>
        <w:jc w:val="both"/>
        <w:rPr>
          <w:rFonts w:hint="eastAsia" w:ascii="仿宋_GB2312" w:eastAsia="仿宋_GB2312" w:cs="仿宋_GB2312"/>
          <w:kern w:val="0"/>
          <w:sz w:val="24"/>
          <w:szCs w:val="24"/>
        </w:rPr>
      </w:pPr>
      <w:r>
        <w:rPr>
          <w:rFonts w:hint="eastAsia" w:ascii="仿宋_GB2312" w:eastAsia="仿宋_GB2312" w:cs="仿宋_GB2312"/>
          <w:kern w:val="0"/>
          <w:sz w:val="32"/>
          <w:szCs w:val="32"/>
          <w:lang w:val="en-US" w:eastAsia="zh-CN" w:bidi="ar"/>
        </w:rPr>
        <w:t>八、政府性基金预算财政拨款收入支出决算情况说明</w:t>
      </w:r>
    </w:p>
    <w:p>
      <w:pPr>
        <w:pStyle w:val="10"/>
        <w:keepNext w:val="0"/>
        <w:keepLines w:val="0"/>
        <w:widowControl/>
        <w:suppressLineNumbers w:val="0"/>
        <w:snapToGrid w:val="0"/>
        <w:spacing w:before="0" w:beforeAutospacing="1" w:after="0" w:afterAutospacing="1" w:line="580" w:lineRule="atLeast"/>
        <w:ind w:left="0" w:right="0" w:firstLine="640"/>
        <w:jc w:val="both"/>
        <w:rPr>
          <w:rFonts w:hint="eastAsia" w:ascii="仿宋_GB2312" w:eastAsia="仿宋_GB2312" w:cs="仿宋_GB2312"/>
          <w:kern w:val="0"/>
          <w:sz w:val="24"/>
          <w:szCs w:val="24"/>
        </w:rPr>
      </w:pPr>
      <w:r>
        <w:rPr>
          <w:rFonts w:hint="eastAsia" w:ascii="仿宋_GB2312" w:eastAsia="仿宋_GB2312" w:cs="仿宋_GB2312"/>
          <w:kern w:val="0"/>
          <w:sz w:val="32"/>
          <w:szCs w:val="32"/>
          <w:lang w:val="en-US" w:eastAsia="zh-CN" w:bidi="ar"/>
        </w:rPr>
        <w:t>九、预算绩效情况说明</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十、</w:t>
      </w:r>
      <w:r>
        <w:rPr>
          <w:rFonts w:hint="eastAsia" w:ascii="仿宋_GB2312" w:hAnsi="仿宋_GB2312" w:eastAsia="仿宋_GB2312" w:cs="仿宋_GB2312"/>
          <w:color w:val="000000"/>
          <w:kern w:val="0"/>
          <w:sz w:val="32"/>
          <w:szCs w:val="32"/>
          <w:lang w:val="en-US" w:eastAsia="zh-CN" w:bidi="ar"/>
        </w:rPr>
        <w:t>其他重要事项情况</w:t>
      </w:r>
      <w:r>
        <w:rPr>
          <w:rFonts w:hint="eastAsia" w:ascii="仿宋_GB2312" w:hAnsi="仿宋_GB2312" w:eastAsia="仿宋_GB2312" w:cs="仿宋_GB2312"/>
          <w:kern w:val="0"/>
          <w:sz w:val="32"/>
          <w:szCs w:val="32"/>
          <w:lang w:val="en-US" w:eastAsia="zh-CN" w:bidi="ar"/>
        </w:rPr>
        <w:t>说明</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第四部分  2019年重点工作完成情况</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第五部分  名词解释</w:t>
      </w:r>
    </w:p>
    <w:p>
      <w:pPr>
        <w:keepNext w:val="0"/>
        <w:keepLines w:val="0"/>
        <w:widowControl/>
        <w:suppressLineNumbers w:val="0"/>
        <w:snapToGrid w:val="0"/>
        <w:spacing w:before="0" w:beforeAutospacing="1" w:after="0" w:afterAutospacing="1" w:line="600" w:lineRule="atLeast"/>
        <w:ind w:left="0" w:right="24"/>
        <w:jc w:val="left"/>
        <w:rPr>
          <w:rFonts w:hint="eastAsia" w:ascii="仿宋_GB2312" w:hAnsi="仿宋_GB2312" w:eastAsia="仿宋_GB2312" w:cs="仿宋_GB2312"/>
          <w:kern w:val="0"/>
          <w:sz w:val="24"/>
          <w:szCs w:val="24"/>
          <w:lang w:val="en-US" w:eastAsia="zh-CN" w:bidi="ar"/>
        </w:rPr>
      </w:pPr>
      <w:r>
        <w:rPr>
          <w:rFonts w:hint="eastAsia" w:ascii="仿宋_GB2312" w:hAnsi="仿宋_GB2312" w:eastAsia="仿宋_GB2312" w:cs="仿宋_GB2312"/>
          <w:kern w:val="0"/>
          <w:sz w:val="24"/>
          <w:szCs w:val="24"/>
          <w:lang w:val="en-US" w:eastAsia="zh-CN" w:bidi="ar"/>
        </w:rPr>
        <w:t xml:space="preserve"> </w:t>
      </w:r>
    </w:p>
    <w:p>
      <w:pPr>
        <w:pStyle w:val="2"/>
        <w:rPr>
          <w:rFonts w:hint="eastAsia" w:ascii="仿宋_GB2312" w:hAnsi="仿宋_GB2312" w:eastAsia="仿宋_GB2312" w:cs="仿宋_GB2312"/>
          <w:kern w:val="0"/>
          <w:sz w:val="24"/>
          <w:szCs w:val="24"/>
          <w:lang w:val="en-US" w:eastAsia="zh-CN" w:bidi="ar"/>
        </w:rPr>
      </w:pPr>
    </w:p>
    <w:p>
      <w:pPr>
        <w:pStyle w:val="2"/>
        <w:ind w:left="0" w:leftChars="0" w:firstLine="0" w:firstLineChars="0"/>
        <w:rPr>
          <w:rFonts w:hint="eastAsia"/>
        </w:rPr>
      </w:pP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kern w:val="0"/>
          <w:sz w:val="24"/>
          <w:szCs w:val="24"/>
          <w:lang w:val="en-US" w:eastAsia="zh-CN" w:bidi="ar"/>
        </w:rPr>
        <w:t xml:space="preserve"> </w:t>
      </w:r>
    </w:p>
    <w:p>
      <w:pPr>
        <w:pStyle w:val="3"/>
        <w:keepNext w:val="0"/>
        <w:keepLines w:val="0"/>
        <w:widowControl/>
        <w:numPr>
          <w:ilvl w:val="0"/>
          <w:numId w:val="1"/>
        </w:numPr>
        <w:suppressLineNumbers w:val="0"/>
        <w:snapToGrid w:val="0"/>
        <w:jc w:val="center"/>
        <w:rPr>
          <w:rFonts w:hint="eastAsia" w:ascii="宋体" w:hAnsi="宋体" w:eastAsia="宋体" w:cs="宋体"/>
          <w:b/>
          <w:kern w:val="44"/>
          <w:sz w:val="48"/>
          <w:szCs w:val="48"/>
        </w:rPr>
      </w:pPr>
      <w:r>
        <w:rPr>
          <w:rFonts w:hint="eastAsia" w:ascii="宋体" w:hAnsi="宋体" w:eastAsia="宋体" w:cs="宋体"/>
          <w:b/>
          <w:kern w:val="44"/>
          <w:sz w:val="48"/>
          <w:szCs w:val="48"/>
        </w:rPr>
        <w:t xml:space="preserve"> 武汉市洪山区融媒体中心</w:t>
      </w:r>
    </w:p>
    <w:p>
      <w:pPr>
        <w:pStyle w:val="3"/>
        <w:keepNext w:val="0"/>
        <w:keepLines w:val="0"/>
        <w:widowControl/>
        <w:numPr>
          <w:ilvl w:val="0"/>
          <w:numId w:val="0"/>
        </w:numPr>
        <w:suppressLineNumbers w:val="0"/>
        <w:snapToGrid w:val="0"/>
        <w:ind w:right="0" w:rightChars="0" w:firstLine="3855" w:firstLineChars="800"/>
        <w:jc w:val="both"/>
        <w:outlineLvl w:val="0"/>
        <w:rPr>
          <w:rFonts w:hint="eastAsia" w:ascii="宋体" w:hAnsi="宋体" w:eastAsia="宋体" w:cs="宋体"/>
          <w:b/>
          <w:kern w:val="44"/>
          <w:sz w:val="48"/>
          <w:szCs w:val="48"/>
        </w:rPr>
      </w:pPr>
      <w:r>
        <w:rPr>
          <w:rFonts w:hint="eastAsia" w:ascii="宋体" w:hAnsi="宋体" w:eastAsia="宋体" w:cs="宋体"/>
          <w:b/>
          <w:kern w:val="44"/>
          <w:sz w:val="48"/>
          <w:szCs w:val="48"/>
        </w:rPr>
        <w:t>概况</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一、部门主要职能</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58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cs="仿宋_GB2312"/>
          <w:kern w:val="0"/>
          <w:sz w:val="32"/>
          <w:szCs w:val="32"/>
          <w:lang w:val="en-US" w:eastAsia="zh-CN" w:bidi="ar"/>
        </w:rPr>
        <w:t>1、</w:t>
      </w:r>
      <w:r>
        <w:rPr>
          <w:rFonts w:hint="eastAsia" w:ascii="仿宋_GB2312" w:hAnsi="仿宋_GB2312" w:eastAsia="仿宋_GB2312" w:cs="仿宋_GB2312"/>
          <w:kern w:val="0"/>
          <w:sz w:val="32"/>
          <w:szCs w:val="32"/>
          <w:lang w:val="en-US" w:eastAsia="zh-CN" w:bidi="ar"/>
        </w:rPr>
        <w:t>建设主流舆论阵地，宣传党的决策部署、思想理论、核心价值观，为全区经济社会发展提供舆论支持。</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580" w:lineRule="exact"/>
        <w:ind w:right="0"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cs="仿宋_GB2312"/>
          <w:kern w:val="0"/>
          <w:sz w:val="32"/>
          <w:szCs w:val="32"/>
          <w:lang w:val="en-US" w:eastAsia="zh-CN" w:bidi="ar"/>
        </w:rPr>
        <w:t>2、</w:t>
      </w:r>
      <w:r>
        <w:rPr>
          <w:rFonts w:hint="eastAsia" w:ascii="仿宋_GB2312" w:hAnsi="仿宋_GB2312" w:eastAsia="仿宋_GB2312" w:cs="仿宋_GB2312"/>
          <w:kern w:val="0"/>
          <w:sz w:val="32"/>
          <w:szCs w:val="32"/>
          <w:lang w:val="en-US" w:eastAsia="zh-CN" w:bidi="ar"/>
        </w:rPr>
        <w:t>围绕区委、区政府中心工作，积极开展全媒体新闻宣传，承担向各级新闻媒体采访、撰写和报送新闻稿件的任务。</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580" w:lineRule="exact"/>
        <w:ind w:right="0"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cs="仿宋_GB2312"/>
          <w:kern w:val="0"/>
          <w:sz w:val="32"/>
          <w:szCs w:val="32"/>
          <w:lang w:val="en-US" w:eastAsia="zh-CN" w:bidi="ar"/>
        </w:rPr>
        <w:t>3、</w:t>
      </w:r>
      <w:r>
        <w:rPr>
          <w:rFonts w:hint="eastAsia" w:ascii="仿宋_GB2312" w:hAnsi="仿宋_GB2312" w:eastAsia="仿宋_GB2312" w:cs="仿宋_GB2312"/>
          <w:kern w:val="0"/>
          <w:sz w:val="32"/>
          <w:szCs w:val="32"/>
          <w:lang w:val="en-US" w:eastAsia="zh-CN" w:bidi="ar"/>
        </w:rPr>
        <w:t>承担区属融媒体平台的建设、运维、管理等工作；建设“互联网+大学”、“媒体+政务+服务”等相关业务平台，推动媒体与公共服务领域深度融合。</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580" w:lineRule="exact"/>
        <w:ind w:right="0"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cs="仿宋_GB2312"/>
          <w:kern w:val="0"/>
          <w:sz w:val="32"/>
          <w:szCs w:val="32"/>
          <w:lang w:val="en-US" w:eastAsia="zh-CN" w:bidi="ar"/>
        </w:rPr>
        <w:t>4、</w:t>
      </w:r>
      <w:r>
        <w:rPr>
          <w:rFonts w:hint="eastAsia" w:ascii="仿宋_GB2312" w:hAnsi="仿宋_GB2312" w:eastAsia="仿宋_GB2312" w:cs="仿宋_GB2312"/>
          <w:kern w:val="0"/>
          <w:sz w:val="32"/>
          <w:szCs w:val="32"/>
          <w:lang w:val="en-US" w:eastAsia="zh-CN" w:bidi="ar"/>
        </w:rPr>
        <w:t>配合全区中心工作，承担全区音视频、图片等融媒体资料的收集、留存、保管、使用等工作。</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580" w:lineRule="exact"/>
        <w:ind w:right="0"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cs="仿宋_GB2312"/>
          <w:kern w:val="0"/>
          <w:sz w:val="32"/>
          <w:szCs w:val="32"/>
          <w:lang w:val="en-US" w:eastAsia="zh-CN" w:bidi="ar"/>
        </w:rPr>
        <w:t>5、</w:t>
      </w:r>
      <w:r>
        <w:rPr>
          <w:rFonts w:hint="eastAsia" w:ascii="仿宋_GB2312" w:hAnsi="仿宋_GB2312" w:eastAsia="仿宋_GB2312" w:cs="仿宋_GB2312"/>
          <w:kern w:val="0"/>
          <w:sz w:val="32"/>
          <w:szCs w:val="32"/>
          <w:lang w:val="en-US" w:eastAsia="zh-CN" w:bidi="ar"/>
        </w:rPr>
        <w:t>配合区委宣传部（区委网络安全和信息化委员会办公室）做好网络舆情的日常监测，及时收集、分析、研判和应对涉及洪山区的舆情信息，开展对负面舆情、负面新闻的协调和引导。</w:t>
      </w:r>
    </w:p>
    <w:p>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1" w:after="0" w:afterAutospacing="1" w:line="580" w:lineRule="exact"/>
        <w:ind w:right="0" w:rightChars="0"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cs="仿宋_GB2312"/>
          <w:kern w:val="0"/>
          <w:sz w:val="32"/>
          <w:szCs w:val="32"/>
          <w:lang w:val="en-US" w:eastAsia="zh-CN" w:bidi="ar"/>
        </w:rPr>
        <w:t>6、</w:t>
      </w:r>
      <w:r>
        <w:rPr>
          <w:rFonts w:hint="eastAsia" w:ascii="仿宋_GB2312" w:hAnsi="仿宋_GB2312" w:eastAsia="仿宋_GB2312" w:cs="仿宋_GB2312"/>
          <w:kern w:val="0"/>
          <w:sz w:val="32"/>
          <w:szCs w:val="32"/>
          <w:lang w:val="en-US" w:eastAsia="zh-CN" w:bidi="ar"/>
        </w:rPr>
        <w:t>开展媒体融合技术的研究、推广和使用，承担宣传人才培训等工作。</w:t>
      </w:r>
    </w:p>
    <w:p>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1" w:after="0" w:afterAutospacing="1" w:line="580" w:lineRule="exact"/>
        <w:ind w:right="0" w:rightChars="0"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cs="仿宋_GB2312"/>
          <w:kern w:val="0"/>
          <w:sz w:val="32"/>
          <w:szCs w:val="32"/>
          <w:lang w:val="en-US" w:eastAsia="zh-CN" w:bidi="ar"/>
        </w:rPr>
        <w:t>7、</w:t>
      </w:r>
      <w:r>
        <w:rPr>
          <w:rFonts w:hint="eastAsia" w:ascii="仿宋_GB2312" w:hAnsi="仿宋_GB2312" w:eastAsia="仿宋_GB2312" w:cs="仿宋_GB2312"/>
          <w:kern w:val="0"/>
          <w:sz w:val="32"/>
          <w:szCs w:val="32"/>
          <w:lang w:val="en-US" w:eastAsia="zh-CN" w:bidi="ar"/>
        </w:rPr>
        <w:t>承担上级交办的其他事项。</w:t>
      </w:r>
    </w:p>
    <w:p>
      <w:pPr>
        <w:keepNext w:val="0"/>
        <w:keepLines w:val="0"/>
        <w:widowControl/>
        <w:numPr>
          <w:ilvl w:val="0"/>
          <w:numId w:val="0"/>
        </w:numPr>
        <w:suppressLineNumbers w:val="0"/>
        <w:snapToGrid w:val="0"/>
        <w:spacing w:before="0" w:beforeAutospacing="1" w:after="0" w:afterAutospacing="1" w:line="580" w:lineRule="atLeast"/>
        <w:ind w:right="0" w:rightChars="0" w:firstLine="640" w:firstLineChars="20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从决算单位构成来看，武汉市洪山区融媒体中心部门决算由纳入独立核算的单位本级决算和</w:t>
      </w:r>
      <w:r>
        <w:rPr>
          <w:rFonts w:hint="eastAsia" w:ascii="仿宋_GB2312" w:hAnsi="仿宋_GB2312" w:eastAsia="仿宋_GB2312" w:cs="仿宋_GB2312"/>
          <w:kern w:val="0"/>
          <w:sz w:val="32"/>
          <w:szCs w:val="32"/>
          <w:u w:val="single"/>
          <w:lang w:val="en-US" w:eastAsia="zh-CN" w:bidi="ar"/>
        </w:rPr>
        <w:t xml:space="preserve"> 0 </w:t>
      </w:r>
      <w:r>
        <w:rPr>
          <w:rFonts w:hint="eastAsia" w:ascii="仿宋_GB2312" w:hAnsi="仿宋_GB2312" w:eastAsia="仿宋_GB2312" w:cs="仿宋_GB2312"/>
          <w:kern w:val="0"/>
          <w:sz w:val="32"/>
          <w:szCs w:val="32"/>
          <w:lang w:val="en-US" w:eastAsia="zh-CN" w:bidi="ar"/>
        </w:rPr>
        <w:t>个下属单位决算组成。</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三、部门人员构成</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32"/>
          <w:szCs w:val="32"/>
        </w:rPr>
      </w:pPr>
      <w:r>
        <w:rPr>
          <w:rFonts w:hint="eastAsia" w:ascii="仿宋_GB2312" w:hAnsi="仿宋_GB2312" w:eastAsia="仿宋_GB2312" w:cs="仿宋_GB2312"/>
          <w:kern w:val="0"/>
          <w:sz w:val="32"/>
          <w:szCs w:val="32"/>
          <w:lang w:val="en-US" w:eastAsia="zh-CN" w:bidi="ar"/>
        </w:rPr>
        <w:t>武汉市洪山区融媒体中心在职实有人数12人，其中：行政0人，事业12人(其中：参照公务员法管理0人)。</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离退休人员12人，其中：离休0人，退休12人。</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24"/>
          <w:szCs w:val="24"/>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kern w:val="0"/>
          <w:sz w:val="24"/>
          <w:szCs w:val="24"/>
          <w:lang w:val="en-US" w:eastAsia="zh-CN" w:bidi="ar"/>
        </w:rPr>
        <w:t xml:space="preserve"> </w:t>
      </w:r>
    </w:p>
    <w:p>
      <w:pPr>
        <w:pStyle w:val="3"/>
        <w:keepNext w:val="0"/>
        <w:keepLines w:val="0"/>
        <w:widowControl/>
        <w:suppressLineNumbers w:val="0"/>
        <w:snapToGrid w:val="0"/>
        <w:jc w:val="center"/>
        <w:rPr>
          <w:rFonts w:hint="eastAsia" w:ascii="宋体" w:hAnsi="宋体" w:eastAsia="宋体" w:cs="宋体"/>
          <w:b/>
          <w:kern w:val="44"/>
          <w:sz w:val="48"/>
          <w:szCs w:val="48"/>
        </w:rPr>
      </w:pPr>
      <w:r>
        <w:rPr>
          <w:rFonts w:hint="eastAsia" w:ascii="宋体" w:hAnsi="宋体" w:eastAsia="宋体" w:cs="宋体"/>
          <w:b/>
          <w:kern w:val="44"/>
          <w:sz w:val="48"/>
          <w:szCs w:val="48"/>
        </w:rPr>
        <w:t xml:space="preserve"> </w:t>
      </w:r>
    </w:p>
    <w:p>
      <w:pPr>
        <w:pStyle w:val="3"/>
        <w:keepNext w:val="0"/>
        <w:keepLines w:val="0"/>
        <w:widowControl/>
        <w:suppressLineNumbers w:val="0"/>
        <w:snapToGrid w:val="0"/>
        <w:jc w:val="center"/>
        <w:rPr>
          <w:rFonts w:hint="eastAsia" w:ascii="宋体" w:hAnsi="宋体" w:eastAsia="宋体" w:cs="宋体"/>
          <w:b/>
          <w:kern w:val="44"/>
          <w:sz w:val="48"/>
          <w:szCs w:val="48"/>
        </w:rPr>
      </w:pPr>
    </w:p>
    <w:p>
      <w:pPr>
        <w:pStyle w:val="3"/>
        <w:keepNext w:val="0"/>
        <w:keepLines w:val="0"/>
        <w:widowControl/>
        <w:suppressLineNumbers w:val="0"/>
        <w:snapToGrid w:val="0"/>
        <w:jc w:val="center"/>
        <w:rPr>
          <w:rFonts w:hint="eastAsia" w:ascii="宋体" w:hAnsi="宋体" w:eastAsia="宋体" w:cs="宋体"/>
          <w:b/>
          <w:kern w:val="44"/>
          <w:sz w:val="48"/>
          <w:szCs w:val="48"/>
        </w:rPr>
      </w:pPr>
    </w:p>
    <w:p>
      <w:pPr>
        <w:pStyle w:val="3"/>
        <w:keepNext w:val="0"/>
        <w:keepLines w:val="0"/>
        <w:widowControl/>
        <w:suppressLineNumbers w:val="0"/>
        <w:snapToGrid w:val="0"/>
        <w:jc w:val="center"/>
        <w:rPr>
          <w:rFonts w:hint="eastAsia" w:ascii="宋体" w:hAnsi="宋体" w:eastAsia="宋体" w:cs="宋体"/>
          <w:b/>
          <w:kern w:val="44"/>
          <w:sz w:val="48"/>
          <w:szCs w:val="48"/>
        </w:rPr>
      </w:pPr>
    </w:p>
    <w:p>
      <w:pPr>
        <w:pStyle w:val="3"/>
        <w:keepNext w:val="0"/>
        <w:keepLines w:val="0"/>
        <w:widowControl/>
        <w:suppressLineNumbers w:val="0"/>
        <w:snapToGrid w:val="0"/>
        <w:jc w:val="center"/>
        <w:rPr>
          <w:rFonts w:hint="eastAsia" w:ascii="宋体" w:hAnsi="宋体" w:eastAsia="宋体" w:cs="宋体"/>
          <w:b/>
          <w:kern w:val="44"/>
          <w:sz w:val="48"/>
          <w:szCs w:val="48"/>
        </w:rPr>
      </w:pPr>
    </w:p>
    <w:p>
      <w:pPr>
        <w:pStyle w:val="3"/>
        <w:keepNext w:val="0"/>
        <w:keepLines w:val="0"/>
        <w:widowControl/>
        <w:suppressLineNumbers w:val="0"/>
        <w:snapToGrid w:val="0"/>
        <w:jc w:val="center"/>
        <w:rPr>
          <w:rFonts w:hint="eastAsia" w:ascii="宋体" w:hAnsi="宋体" w:eastAsia="宋体" w:cs="宋体"/>
          <w:b/>
          <w:kern w:val="44"/>
          <w:sz w:val="48"/>
          <w:szCs w:val="48"/>
        </w:rPr>
      </w:pPr>
    </w:p>
    <w:p>
      <w:pPr>
        <w:pStyle w:val="3"/>
        <w:keepNext w:val="0"/>
        <w:keepLines w:val="0"/>
        <w:widowControl/>
        <w:numPr>
          <w:ilvl w:val="0"/>
          <w:numId w:val="1"/>
        </w:numPr>
        <w:suppressLineNumbers w:val="0"/>
        <w:snapToGrid w:val="0"/>
        <w:ind w:left="0" w:leftChars="0" w:firstLine="0" w:firstLineChars="0"/>
        <w:jc w:val="center"/>
        <w:rPr>
          <w:rFonts w:hint="eastAsia" w:ascii="宋体" w:hAnsi="宋体" w:eastAsia="宋体" w:cs="宋体"/>
          <w:b/>
          <w:kern w:val="44"/>
          <w:sz w:val="48"/>
          <w:szCs w:val="48"/>
        </w:rPr>
      </w:pPr>
      <w:r>
        <w:rPr>
          <w:rFonts w:hint="eastAsia" w:ascii="宋体" w:hAnsi="宋体" w:eastAsia="宋体" w:cs="宋体"/>
          <w:b/>
          <w:kern w:val="44"/>
          <w:sz w:val="48"/>
          <w:szCs w:val="48"/>
        </w:rPr>
        <w:t xml:space="preserve"> 武汉市洪山区融媒体中心2019年度部门决算表</w:t>
      </w:r>
    </w:p>
    <w:p>
      <w:pPr>
        <w:numPr>
          <w:ilvl w:val="0"/>
          <w:numId w:val="0"/>
        </w:numPr>
        <w:ind w:leftChars="0" w:right="0" w:rightChars="0"/>
        <w:rPr>
          <w:rFonts w:hint="eastAsia"/>
        </w:rPr>
      </w:pP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kern w:val="0"/>
          <w:sz w:val="24"/>
          <w:szCs w:val="24"/>
          <w:lang w:val="en-US" w:eastAsia="zh-CN" w:bidi="ar"/>
        </w:rPr>
        <w:t xml:space="preserve"> </w:t>
      </w:r>
      <w:r>
        <w:rPr>
          <w:rFonts w:hint="eastAsia" w:ascii="仿宋_GB2312" w:eastAsia="仿宋_GB2312" w:cs="仿宋_GB2312"/>
          <w:snapToGrid w:val="0"/>
          <w:kern w:val="0"/>
          <w:sz w:val="24"/>
          <w:szCs w:val="24"/>
          <w:lang w:val="en-US" w:eastAsia="zh-CN" w:bidi="ar"/>
        </w:rPr>
        <w:drawing>
          <wp:inline distT="0" distB="0" distL="114300" distR="114300">
            <wp:extent cx="5286375" cy="5676900"/>
            <wp:effectExtent l="0" t="0" r="9525" b="0"/>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5"/>
                    <a:stretch>
                      <a:fillRect/>
                    </a:stretch>
                  </pic:blipFill>
                  <pic:spPr>
                    <a:xfrm>
                      <a:off x="0" y="0"/>
                      <a:ext cx="5286375" cy="5676900"/>
                    </a:xfrm>
                    <a:prstGeom prst="rect">
                      <a:avLst/>
                    </a:prstGeom>
                    <a:noFill/>
                    <a:ln w="9525">
                      <a:noFill/>
                    </a:ln>
                  </pic:spPr>
                </pic:pic>
              </a:graphicData>
            </a:graphic>
          </wp:inline>
        </w:drawing>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snapToGrid w:val="0"/>
          <w:kern w:val="0"/>
          <w:sz w:val="24"/>
          <w:szCs w:val="24"/>
          <w:lang w:val="en-US" w:eastAsia="zh-CN" w:bidi="ar"/>
        </w:rPr>
        <w:drawing>
          <wp:inline distT="0" distB="0" distL="114300" distR="114300">
            <wp:extent cx="5276850" cy="3638550"/>
            <wp:effectExtent l="0" t="0" r="0" b="0"/>
            <wp:docPr id="2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IMG_257"/>
                    <pic:cNvPicPr>
                      <a:picLocks noChangeAspect="1"/>
                    </pic:cNvPicPr>
                  </pic:nvPicPr>
                  <pic:blipFill>
                    <a:blip r:embed="rId6"/>
                    <a:stretch>
                      <a:fillRect/>
                    </a:stretch>
                  </pic:blipFill>
                  <pic:spPr>
                    <a:xfrm>
                      <a:off x="0" y="0"/>
                      <a:ext cx="5276850" cy="3638550"/>
                    </a:xfrm>
                    <a:prstGeom prst="rect">
                      <a:avLst/>
                    </a:prstGeom>
                    <a:noFill/>
                    <a:ln w="9525">
                      <a:noFill/>
                    </a:ln>
                  </pic:spPr>
                </pic:pic>
              </a:graphicData>
            </a:graphic>
          </wp:inline>
        </w:drawing>
      </w:r>
      <w:r>
        <w:rPr>
          <w:rFonts w:hint="eastAsia" w:ascii="仿宋_GB2312" w:eastAsia="仿宋_GB2312" w:cs="仿宋_GB2312"/>
          <w:kern w:val="0"/>
          <w:sz w:val="24"/>
          <w:szCs w:val="24"/>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snapToGrid w:val="0"/>
          <w:kern w:val="0"/>
          <w:sz w:val="24"/>
          <w:szCs w:val="24"/>
          <w:lang w:val="en-US" w:eastAsia="zh-CN" w:bidi="ar"/>
        </w:rPr>
        <w:drawing>
          <wp:inline distT="0" distB="0" distL="114300" distR="114300">
            <wp:extent cx="5276850" cy="4333875"/>
            <wp:effectExtent l="0" t="0" r="0" b="9525"/>
            <wp:docPr id="1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IMG_258"/>
                    <pic:cNvPicPr>
                      <a:picLocks noChangeAspect="1"/>
                    </pic:cNvPicPr>
                  </pic:nvPicPr>
                  <pic:blipFill>
                    <a:blip r:embed="rId7"/>
                    <a:stretch>
                      <a:fillRect/>
                    </a:stretch>
                  </pic:blipFill>
                  <pic:spPr>
                    <a:xfrm>
                      <a:off x="0" y="0"/>
                      <a:ext cx="5276850" cy="4333875"/>
                    </a:xfrm>
                    <a:prstGeom prst="rect">
                      <a:avLst/>
                    </a:prstGeom>
                    <a:noFill/>
                    <a:ln w="9525">
                      <a:noFill/>
                    </a:ln>
                  </pic:spPr>
                </pic:pic>
              </a:graphicData>
            </a:graphic>
          </wp:inline>
        </w:drawing>
      </w:r>
      <w:r>
        <w:rPr>
          <w:rFonts w:hint="eastAsia" w:ascii="仿宋_GB2312" w:eastAsia="仿宋_GB2312" w:cs="仿宋_GB2312"/>
          <w:kern w:val="0"/>
          <w:sz w:val="24"/>
          <w:szCs w:val="24"/>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snapToGrid w:val="0"/>
          <w:kern w:val="0"/>
          <w:sz w:val="24"/>
          <w:szCs w:val="24"/>
          <w:lang w:val="en-US" w:eastAsia="zh-CN" w:bidi="ar"/>
        </w:rPr>
        <w:drawing>
          <wp:inline distT="0" distB="0" distL="114300" distR="114300">
            <wp:extent cx="5276850" cy="5867400"/>
            <wp:effectExtent l="0" t="0" r="0" b="0"/>
            <wp:docPr id="17"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IMG_259"/>
                    <pic:cNvPicPr>
                      <a:picLocks noChangeAspect="1"/>
                    </pic:cNvPicPr>
                  </pic:nvPicPr>
                  <pic:blipFill>
                    <a:blip r:embed="rId8"/>
                    <a:stretch>
                      <a:fillRect/>
                    </a:stretch>
                  </pic:blipFill>
                  <pic:spPr>
                    <a:xfrm>
                      <a:off x="0" y="0"/>
                      <a:ext cx="5276850" cy="5867400"/>
                    </a:xfrm>
                    <a:prstGeom prst="rect">
                      <a:avLst/>
                    </a:prstGeom>
                    <a:noFill/>
                    <a:ln w="9525">
                      <a:noFill/>
                    </a:ln>
                  </pic:spPr>
                </pic:pic>
              </a:graphicData>
            </a:graphic>
          </wp:inline>
        </w:drawing>
      </w:r>
      <w:r>
        <w:rPr>
          <w:rFonts w:hint="eastAsia" w:ascii="仿宋_GB2312" w:eastAsia="仿宋_GB2312" w:cs="仿宋_GB2312"/>
          <w:kern w:val="0"/>
          <w:sz w:val="24"/>
          <w:szCs w:val="24"/>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snapToGrid w:val="0"/>
          <w:kern w:val="0"/>
          <w:sz w:val="24"/>
          <w:szCs w:val="24"/>
          <w:lang w:val="en-US" w:eastAsia="zh-CN" w:bidi="ar"/>
        </w:rPr>
        <w:drawing>
          <wp:inline distT="0" distB="0" distL="114300" distR="114300">
            <wp:extent cx="4791075" cy="5324475"/>
            <wp:effectExtent l="0" t="0" r="9525" b="9525"/>
            <wp:docPr id="18"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descr="IMG_260"/>
                    <pic:cNvPicPr>
                      <a:picLocks noChangeAspect="1"/>
                    </pic:cNvPicPr>
                  </pic:nvPicPr>
                  <pic:blipFill>
                    <a:blip r:embed="rId9"/>
                    <a:stretch>
                      <a:fillRect/>
                    </a:stretch>
                  </pic:blipFill>
                  <pic:spPr>
                    <a:xfrm>
                      <a:off x="0" y="0"/>
                      <a:ext cx="4791075" cy="5324475"/>
                    </a:xfrm>
                    <a:prstGeom prst="rect">
                      <a:avLst/>
                    </a:prstGeom>
                    <a:noFill/>
                    <a:ln w="9525">
                      <a:noFill/>
                    </a:ln>
                  </pic:spPr>
                </pic:pic>
              </a:graphicData>
            </a:graphic>
          </wp:inline>
        </w:drawing>
      </w:r>
      <w:r>
        <w:rPr>
          <w:rFonts w:hint="eastAsia" w:ascii="仿宋_GB2312" w:eastAsia="仿宋_GB2312" w:cs="仿宋_GB2312"/>
          <w:kern w:val="0"/>
          <w:sz w:val="24"/>
          <w:szCs w:val="24"/>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snapToGrid w:val="0"/>
          <w:kern w:val="0"/>
          <w:sz w:val="24"/>
          <w:szCs w:val="24"/>
          <w:lang w:val="en-US" w:eastAsia="zh-CN" w:bidi="ar"/>
        </w:rPr>
        <w:drawing>
          <wp:inline distT="0" distB="0" distL="114300" distR="114300">
            <wp:extent cx="5276850" cy="3571875"/>
            <wp:effectExtent l="0" t="0" r="0" b="9525"/>
            <wp:docPr id="12"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IMG_261"/>
                    <pic:cNvPicPr>
                      <a:picLocks noChangeAspect="1"/>
                    </pic:cNvPicPr>
                  </pic:nvPicPr>
                  <pic:blipFill>
                    <a:blip r:embed="rId10"/>
                    <a:stretch>
                      <a:fillRect/>
                    </a:stretch>
                  </pic:blipFill>
                  <pic:spPr>
                    <a:xfrm>
                      <a:off x="0" y="0"/>
                      <a:ext cx="5276850" cy="3571875"/>
                    </a:xfrm>
                    <a:prstGeom prst="rect">
                      <a:avLst/>
                    </a:prstGeom>
                    <a:noFill/>
                    <a:ln w="9525">
                      <a:noFill/>
                    </a:ln>
                  </pic:spPr>
                </pic:pic>
              </a:graphicData>
            </a:graphic>
          </wp:inline>
        </w:drawing>
      </w:r>
      <w:r>
        <w:rPr>
          <w:rFonts w:hint="eastAsia" w:ascii="仿宋_GB2312" w:eastAsia="仿宋_GB2312" w:cs="仿宋_GB2312"/>
          <w:kern w:val="0"/>
          <w:sz w:val="24"/>
          <w:szCs w:val="24"/>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snapToGrid w:val="0"/>
          <w:kern w:val="0"/>
          <w:sz w:val="24"/>
          <w:szCs w:val="24"/>
          <w:lang w:val="en-US" w:eastAsia="zh-CN" w:bidi="ar"/>
        </w:rPr>
        <w:drawing>
          <wp:inline distT="0" distB="0" distL="114300" distR="114300">
            <wp:extent cx="5286375" cy="1504950"/>
            <wp:effectExtent l="0" t="0" r="9525" b="0"/>
            <wp:docPr id="16"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descr="IMG_262"/>
                    <pic:cNvPicPr>
                      <a:picLocks noChangeAspect="1"/>
                    </pic:cNvPicPr>
                  </pic:nvPicPr>
                  <pic:blipFill>
                    <a:blip r:embed="rId11"/>
                    <a:stretch>
                      <a:fillRect/>
                    </a:stretch>
                  </pic:blipFill>
                  <pic:spPr>
                    <a:xfrm>
                      <a:off x="0" y="0"/>
                      <a:ext cx="5286375" cy="1504950"/>
                    </a:xfrm>
                    <a:prstGeom prst="rect">
                      <a:avLst/>
                    </a:prstGeom>
                    <a:noFill/>
                    <a:ln w="9525">
                      <a:noFill/>
                    </a:ln>
                  </pic:spPr>
                </pic:pic>
              </a:graphicData>
            </a:graphic>
          </wp:inline>
        </w:drawing>
      </w:r>
      <w:r>
        <w:rPr>
          <w:rFonts w:hint="eastAsia" w:ascii="仿宋_GB2312" w:eastAsia="仿宋_GB2312" w:cs="仿宋_GB2312"/>
          <w:kern w:val="0"/>
          <w:sz w:val="24"/>
          <w:szCs w:val="24"/>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snapToGrid w:val="0"/>
          <w:kern w:val="0"/>
          <w:sz w:val="24"/>
          <w:szCs w:val="24"/>
          <w:lang w:val="en-US" w:eastAsia="zh-CN" w:bidi="ar"/>
        </w:rPr>
      </w:pPr>
      <w:r>
        <w:rPr>
          <w:rFonts w:hint="eastAsia" w:ascii="仿宋_GB2312" w:eastAsia="仿宋_GB2312" w:cs="仿宋_GB2312"/>
          <w:snapToGrid w:val="0"/>
          <w:kern w:val="0"/>
          <w:sz w:val="24"/>
          <w:szCs w:val="24"/>
          <w:lang w:val="en-US" w:eastAsia="zh-CN" w:bidi="ar"/>
        </w:rPr>
        <w:drawing>
          <wp:inline distT="0" distB="0" distL="114300" distR="114300">
            <wp:extent cx="5172075" cy="2105025"/>
            <wp:effectExtent l="0" t="0" r="9525" b="9525"/>
            <wp:docPr id="19"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descr="IMG_263"/>
                    <pic:cNvPicPr>
                      <a:picLocks noChangeAspect="1"/>
                    </pic:cNvPicPr>
                  </pic:nvPicPr>
                  <pic:blipFill>
                    <a:blip r:embed="rId12"/>
                    <a:stretch>
                      <a:fillRect/>
                    </a:stretch>
                  </pic:blipFill>
                  <pic:spPr>
                    <a:xfrm>
                      <a:off x="0" y="0"/>
                      <a:ext cx="5172075" cy="2105025"/>
                    </a:xfrm>
                    <a:prstGeom prst="rect">
                      <a:avLst/>
                    </a:prstGeom>
                    <a:noFill/>
                    <a:ln w="9525">
                      <a:noFill/>
                    </a:ln>
                  </pic:spPr>
                </pic:pic>
              </a:graphicData>
            </a:graphic>
          </wp:inline>
        </w:drawing>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本部门没有政府性基金预算财政拨款收入，也没有使用政府性基金预算财政拨款安排的支出</w:t>
      </w:r>
      <w:r>
        <w:rPr>
          <w:rFonts w:hint="eastAsia" w:cs="仿宋_GB2312"/>
          <w:kern w:val="0"/>
          <w:sz w:val="32"/>
          <w:szCs w:val="32"/>
          <w:lang w:val="en-US" w:eastAsia="zh-CN" w:bidi="ar"/>
        </w:rPr>
        <w:t>。</w:t>
      </w:r>
      <w:r>
        <w:rPr>
          <w:rFonts w:hint="eastAsia" w:ascii="仿宋_GB2312" w:eastAsia="仿宋_GB2312" w:cs="仿宋_GB2312"/>
          <w:kern w:val="0"/>
          <w:sz w:val="24"/>
          <w:szCs w:val="24"/>
          <w:lang w:val="en-US" w:eastAsia="zh-CN" w:bidi="ar"/>
        </w:rPr>
        <w:t xml:space="preserve"> </w:t>
      </w:r>
    </w:p>
    <w:p>
      <w:pPr>
        <w:keepNext w:val="0"/>
        <w:keepLines w:val="0"/>
        <w:widowControl/>
        <w:suppressLineNumbers w:val="0"/>
        <w:snapToGrid w:val="0"/>
        <w:spacing w:before="0" w:beforeAutospacing="1" w:after="0" w:afterAutospacing="1"/>
        <w:ind w:left="0" w:right="0"/>
        <w:jc w:val="center"/>
        <w:rPr>
          <w:rFonts w:hint="eastAsia" w:ascii="仿宋_GB2312" w:eastAsia="仿宋_GB2312" w:cs="仿宋_GB2312"/>
          <w:kern w:val="0"/>
          <w:sz w:val="24"/>
          <w:szCs w:val="24"/>
        </w:rPr>
      </w:pPr>
      <w:r>
        <w:rPr>
          <w:rFonts w:hint="eastAsia" w:ascii="宋体" w:hAnsi="宋体" w:eastAsia="宋体" w:cs="宋体"/>
          <w:b/>
          <w:kern w:val="0"/>
          <w:sz w:val="44"/>
          <w:szCs w:val="44"/>
          <w:lang w:val="en-US" w:eastAsia="zh-CN" w:bidi="ar"/>
        </w:rPr>
        <w:t>第三部分</w:t>
      </w:r>
      <w:r>
        <w:rPr>
          <w:rFonts w:hint="eastAsia" w:ascii="仿宋_GB2312" w:hAnsi="仿宋_GB2312" w:eastAsia="仿宋_GB2312" w:cs="仿宋_GB2312"/>
          <w:b/>
          <w:kern w:val="0"/>
          <w:sz w:val="44"/>
          <w:szCs w:val="44"/>
          <w:lang w:val="en-US" w:eastAsia="zh-CN" w:bidi="ar"/>
        </w:rPr>
        <w:t xml:space="preserve">  武汉市洪山区融媒体中心2019</w:t>
      </w:r>
      <w:r>
        <w:rPr>
          <w:rFonts w:hint="eastAsia" w:ascii="宋体" w:hAnsi="宋体" w:eastAsia="宋体" w:cs="宋体"/>
          <w:b/>
          <w:kern w:val="0"/>
          <w:sz w:val="44"/>
          <w:szCs w:val="44"/>
          <w:lang w:val="en-US" w:eastAsia="zh-CN" w:bidi="ar"/>
        </w:rPr>
        <w:t>年度</w:t>
      </w:r>
      <w:r>
        <w:rPr>
          <w:rFonts w:hint="eastAsia" w:ascii="仿宋_GB2312" w:hAnsi="仿宋_GB2312" w:eastAsia="仿宋_GB2312" w:cs="仿宋_GB2312"/>
          <w:kern w:val="0"/>
          <w:sz w:val="24"/>
          <w:szCs w:val="24"/>
          <w:lang w:val="en-US" w:eastAsia="zh-CN" w:bidi="ar"/>
        </w:rPr>
        <w:br w:type="textWrapping"/>
      </w:r>
      <w:r>
        <w:rPr>
          <w:rFonts w:hint="eastAsia" w:ascii="宋体" w:hAnsi="宋体" w:eastAsia="宋体" w:cs="宋体"/>
          <w:b/>
          <w:kern w:val="0"/>
          <w:sz w:val="44"/>
          <w:szCs w:val="44"/>
          <w:lang w:val="en-US" w:eastAsia="zh-CN" w:bidi="ar"/>
        </w:rPr>
        <w:t>部门决算情况说明</w:t>
      </w:r>
    </w:p>
    <w:p>
      <w:pPr>
        <w:keepNext w:val="0"/>
        <w:keepLines w:val="0"/>
        <w:widowControl/>
        <w:suppressLineNumbers w:val="0"/>
        <w:snapToGrid w:val="0"/>
        <w:spacing w:before="0" w:beforeAutospacing="1" w:after="0" w:afterAutospacing="1" w:line="580" w:lineRule="atLeast"/>
        <w:ind w:left="0" w:right="0"/>
        <w:jc w:val="left"/>
        <w:rPr>
          <w:rFonts w:hint="eastAsia" w:ascii="仿宋_GB2312" w:eastAsia="仿宋_GB2312" w:cs="仿宋_GB2312"/>
          <w:kern w:val="0"/>
          <w:sz w:val="24"/>
          <w:szCs w:val="24"/>
        </w:rPr>
      </w:pPr>
      <w:r>
        <w:rPr>
          <w:rFonts w:hint="eastAsia" w:ascii="仿宋_GB2312" w:hAnsi="仿宋_GB2312" w:eastAsia="仿宋_GB2312" w:cs="仿宋_GB2312"/>
          <w:kern w:val="0"/>
          <w:sz w:val="24"/>
          <w:szCs w:val="24"/>
          <w:lang w:val="en-US" w:eastAsia="zh-CN" w:bidi="ar"/>
        </w:rPr>
        <w:t xml:space="preserve"> </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一、2019年度收入支出决算总体情况说明</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highlight w:val="none"/>
        </w:rPr>
      </w:pPr>
      <w:r>
        <w:rPr>
          <w:rFonts w:hint="eastAsia" w:ascii="仿宋_GB2312" w:hAnsi="仿宋_GB2312" w:eastAsia="仿宋_GB2312" w:cs="仿宋_GB2312"/>
          <w:kern w:val="0"/>
          <w:sz w:val="32"/>
          <w:szCs w:val="32"/>
          <w:lang w:val="en-US" w:eastAsia="zh-CN" w:bidi="ar"/>
        </w:rPr>
        <w:t>2019年度收、支总计639.36万元。与2018年相比，收、支总计各增加 89.46万元，增长16.27%，</w:t>
      </w:r>
      <w:r>
        <w:rPr>
          <w:rFonts w:hint="eastAsia" w:ascii="仿宋_GB2312" w:hAnsi="仿宋_GB2312" w:eastAsia="仿宋_GB2312" w:cs="仿宋_GB2312"/>
          <w:kern w:val="0"/>
          <w:sz w:val="32"/>
          <w:szCs w:val="32"/>
          <w:highlight w:val="none"/>
          <w:lang w:val="en-US" w:eastAsia="zh-CN" w:bidi="ar"/>
        </w:rPr>
        <w:t>主要原因是</w:t>
      </w:r>
      <w:r>
        <w:rPr>
          <w:rFonts w:hint="eastAsia" w:cs="仿宋_GB2312"/>
          <w:kern w:val="0"/>
          <w:sz w:val="32"/>
          <w:szCs w:val="32"/>
          <w:highlight w:val="none"/>
          <w:lang w:val="en-US" w:eastAsia="zh-CN" w:bidi="ar"/>
        </w:rPr>
        <w:t>：</w:t>
      </w:r>
      <w:r>
        <w:rPr>
          <w:rFonts w:hint="eastAsia" w:ascii="仿宋_GB2312" w:hAnsi="仿宋_GB2312" w:eastAsia="仿宋_GB2312" w:cs="仿宋_GB2312"/>
          <w:kern w:val="0"/>
          <w:sz w:val="32"/>
          <w:szCs w:val="32"/>
          <w:highlight w:val="none"/>
          <w:lang w:val="en-US" w:eastAsia="zh-CN" w:bidi="ar"/>
        </w:rPr>
        <w:t>一、根据省</w:t>
      </w:r>
      <w:r>
        <w:rPr>
          <w:rFonts w:hint="eastAsia" w:cs="仿宋_GB2312"/>
          <w:kern w:val="0"/>
          <w:sz w:val="32"/>
          <w:szCs w:val="32"/>
          <w:highlight w:val="none"/>
          <w:lang w:val="en-US" w:eastAsia="zh-CN" w:bidi="ar"/>
        </w:rPr>
        <w:t>、</w:t>
      </w:r>
      <w:r>
        <w:rPr>
          <w:rFonts w:hint="eastAsia" w:ascii="仿宋_GB2312" w:hAnsi="仿宋_GB2312" w:eastAsia="仿宋_GB2312" w:cs="仿宋_GB2312"/>
          <w:kern w:val="0"/>
          <w:sz w:val="32"/>
          <w:szCs w:val="32"/>
          <w:highlight w:val="none"/>
          <w:lang w:val="en-US" w:eastAsia="zh-CN" w:bidi="ar"/>
        </w:rPr>
        <w:t>市调整机关工作人员工资标准，工资福利支出相应增加；二、</w:t>
      </w:r>
      <w:r>
        <w:rPr>
          <w:rFonts w:hint="eastAsia" w:cs="仿宋_GB2312"/>
          <w:kern w:val="0"/>
          <w:sz w:val="32"/>
          <w:szCs w:val="32"/>
          <w:highlight w:val="none"/>
          <w:lang w:val="en-US" w:eastAsia="zh-CN" w:bidi="ar"/>
        </w:rPr>
        <w:t>职工（退休）年度奖励增加；三、单位职能调整，新增</w:t>
      </w:r>
      <w:r>
        <w:rPr>
          <w:rFonts w:hint="eastAsia" w:ascii="仿宋_GB2312" w:hAnsi="仿宋_GB2312" w:eastAsia="仿宋_GB2312" w:cs="仿宋_GB2312"/>
          <w:kern w:val="0"/>
          <w:sz w:val="32"/>
          <w:szCs w:val="32"/>
          <w:highlight w:val="none"/>
          <w:lang w:val="en-US" w:eastAsia="zh-CN" w:bidi="ar"/>
        </w:rPr>
        <w:t>相关专项项目</w:t>
      </w:r>
      <w:r>
        <w:rPr>
          <w:rFonts w:hint="eastAsia" w:cs="仿宋_GB2312"/>
          <w:kern w:val="0"/>
          <w:sz w:val="32"/>
          <w:szCs w:val="32"/>
          <w:highlight w:val="none"/>
          <w:lang w:val="en-US" w:eastAsia="zh-CN" w:bidi="ar"/>
        </w:rPr>
        <w:t>，项目费用增加</w:t>
      </w:r>
      <w:r>
        <w:rPr>
          <w:rFonts w:hint="eastAsia" w:ascii="仿宋_GB2312" w:hAnsi="仿宋_GB2312" w:eastAsia="仿宋_GB2312" w:cs="仿宋_GB2312"/>
          <w:kern w:val="0"/>
          <w:sz w:val="32"/>
          <w:szCs w:val="32"/>
          <w:highlight w:val="none"/>
          <w:lang w:val="en-US" w:eastAsia="zh-CN" w:bidi="ar"/>
        </w:rPr>
        <w:t>。</w:t>
      </w:r>
    </w:p>
    <w:p>
      <w:pPr>
        <w:keepNext w:val="0"/>
        <w:keepLines w:val="0"/>
        <w:widowControl/>
        <w:suppressLineNumbers w:val="0"/>
        <w:snapToGrid w:val="0"/>
        <w:spacing w:before="0" w:beforeAutospacing="1" w:after="0" w:afterAutospacing="1" w:line="540" w:lineRule="atLeast"/>
        <w:ind w:left="0" w:right="0" w:firstLine="640"/>
        <w:jc w:val="left"/>
        <w:rPr>
          <w:rFonts w:hint="eastAsia"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图1：收、支决算总计变动情况</w:t>
      </w:r>
      <w:r>
        <w:rPr>
          <w:rFonts w:hint="eastAsia"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line="540" w:lineRule="atLeast"/>
        <w:ind w:left="0" w:right="0" w:firstLine="640"/>
        <w:jc w:val="right"/>
        <w:rPr>
          <w:rFonts w:hint="default" w:ascii="仿宋_GB2312" w:eastAsia="仿宋_GB2312" w:cs="仿宋_GB2312"/>
          <w:kern w:val="0"/>
          <w:sz w:val="32"/>
          <w:szCs w:val="32"/>
          <w:lang w:val="en-US"/>
        </w:rPr>
      </w:pPr>
      <w:r>
        <w:rPr>
          <w:rFonts w:hint="eastAsia" w:cs="仿宋_GB2312"/>
          <w:kern w:val="0"/>
          <w:sz w:val="32"/>
          <w:szCs w:val="32"/>
          <w:lang w:val="en-US" w:eastAsia="zh-CN" w:bidi="ar"/>
        </w:rPr>
        <w:t xml:space="preserve">  </w:t>
      </w:r>
      <w:r>
        <w:rPr>
          <w:rFonts w:hint="eastAsia" w:cs="仿宋_GB2312"/>
          <w:kern w:val="0"/>
          <w:sz w:val="24"/>
          <w:szCs w:val="24"/>
          <w:lang w:val="en-US" w:eastAsia="zh-CN" w:bidi="ar"/>
        </w:rPr>
        <w:t>单位：万元</w:t>
      </w:r>
    </w:p>
    <w:p>
      <w:pPr>
        <w:keepNext w:val="0"/>
        <w:keepLines w:val="0"/>
        <w:widowControl/>
        <w:suppressLineNumbers w:val="0"/>
        <w:snapToGrid w:val="0"/>
        <w:spacing w:before="0" w:beforeAutospacing="1" w:after="0" w:afterAutospacing="1" w:line="540" w:lineRule="atLeast"/>
        <w:ind w:left="0" w:leftChars="0" w:right="0" w:firstLine="0" w:firstLineChars="0"/>
        <w:jc w:val="left"/>
        <w:rPr>
          <w:rFonts w:hint="eastAsia" w:ascii="仿宋_GB2312" w:eastAsia="仿宋_GB2312" w:cs="仿宋_GB2312"/>
          <w:kern w:val="0"/>
          <w:sz w:val="32"/>
          <w:szCs w:val="32"/>
        </w:rPr>
      </w:pPr>
      <w:r>
        <w:rPr>
          <w:rFonts w:hint="eastAsia" w:ascii="仿宋_GB2312" w:hAnsi="仿宋_GB2312" w:eastAsia="仿宋_GB2312" w:cs="仿宋_GB2312"/>
          <w:snapToGrid w:val="0"/>
          <w:kern w:val="0"/>
          <w:sz w:val="24"/>
          <w:szCs w:val="24"/>
          <w:lang w:val="en-US" w:eastAsia="zh-CN" w:bidi="ar"/>
        </w:rPr>
        <w:drawing>
          <wp:inline distT="0" distB="0" distL="114300" distR="114300">
            <wp:extent cx="4966970" cy="3376930"/>
            <wp:effectExtent l="0" t="0" r="5080" b="13970"/>
            <wp:docPr id="20"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descr="IMG_264"/>
                    <pic:cNvPicPr>
                      <a:picLocks noChangeAspect="1"/>
                    </pic:cNvPicPr>
                  </pic:nvPicPr>
                  <pic:blipFill>
                    <a:blip r:embed="rId13"/>
                    <a:stretch>
                      <a:fillRect/>
                    </a:stretch>
                  </pic:blipFill>
                  <pic:spPr>
                    <a:xfrm>
                      <a:off x="0" y="0"/>
                      <a:ext cx="4966970" cy="3376930"/>
                    </a:xfrm>
                    <a:prstGeom prst="rect">
                      <a:avLst/>
                    </a:prstGeom>
                    <a:noFill/>
                    <a:ln w="9525">
                      <a:noFill/>
                    </a:ln>
                  </pic:spPr>
                </pic:pic>
              </a:graphicData>
            </a:graphic>
          </wp:inline>
        </w:drawing>
      </w: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二、2019年度收入决算情况说明</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2019年度本年收入合计639.35万元。其中：财政拨款收入637.06万元，占本年收入99.64%；上级补助收入0.00万元，占本年收入0.00%；事业收入0.00万元，占本年收入0.00%；经营收入0.00万元，占本年收入0.00%；附属单位上缴收入0.00万元，占本年收入0.00%；其他收入2.29万元，占本年收入0.36%。</w:t>
      </w:r>
    </w:p>
    <w:p>
      <w:pPr>
        <w:keepNext w:val="0"/>
        <w:keepLines w:val="0"/>
        <w:widowControl/>
        <w:suppressLineNumbers w:val="0"/>
        <w:snapToGrid w:val="0"/>
        <w:spacing w:before="0" w:beforeAutospacing="1" w:after="0" w:afterAutospacing="1" w:line="540" w:lineRule="atLeast"/>
        <w:ind w:left="0" w:right="0" w:firstLine="96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图2：收入决算结构</w:t>
      </w:r>
    </w:p>
    <w:p>
      <w:pPr>
        <w:pStyle w:val="2"/>
        <w:rPr>
          <w:rFonts w:hint="eastAsia"/>
          <w:lang w:val="en-US" w:eastAsia="zh-CN"/>
        </w:rPr>
      </w:pPr>
    </w:p>
    <w:p>
      <w:pPr>
        <w:keepNext w:val="0"/>
        <w:keepLines w:val="0"/>
        <w:widowControl/>
        <w:suppressLineNumbers w:val="0"/>
        <w:snapToGrid w:val="0"/>
        <w:spacing w:before="0" w:beforeAutospacing="1" w:after="0" w:afterAutospacing="1" w:line="540" w:lineRule="atLeast"/>
        <w:ind w:left="0" w:leftChars="0" w:right="0" w:firstLine="0" w:firstLineChars="0"/>
        <w:jc w:val="left"/>
        <w:rPr>
          <w:rFonts w:hint="eastAsia" w:ascii="仿宋_GB2312" w:eastAsia="仿宋_GB2312" w:cs="仿宋_GB2312"/>
          <w:kern w:val="0"/>
          <w:sz w:val="32"/>
          <w:szCs w:val="32"/>
        </w:rPr>
      </w:pPr>
      <w:r>
        <w:rPr>
          <w:rFonts w:hint="eastAsia" w:ascii="仿宋_GB2312" w:hAnsi="仿宋_GB2312" w:eastAsia="仿宋_GB2312" w:cs="仿宋_GB2312"/>
          <w:snapToGrid w:val="0"/>
          <w:kern w:val="0"/>
          <w:sz w:val="24"/>
          <w:szCs w:val="24"/>
          <w:lang w:val="en-US" w:eastAsia="zh-CN" w:bidi="ar"/>
        </w:rPr>
        <w:drawing>
          <wp:inline distT="0" distB="0" distL="114300" distR="114300">
            <wp:extent cx="5295900" cy="3543300"/>
            <wp:effectExtent l="0" t="0" r="0" b="0"/>
            <wp:docPr id="21"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descr="IMG_265"/>
                    <pic:cNvPicPr>
                      <a:picLocks noChangeAspect="1"/>
                    </pic:cNvPicPr>
                  </pic:nvPicPr>
                  <pic:blipFill>
                    <a:blip r:embed="rId14"/>
                    <a:stretch>
                      <a:fillRect/>
                    </a:stretch>
                  </pic:blipFill>
                  <pic:spPr>
                    <a:xfrm>
                      <a:off x="0" y="0"/>
                      <a:ext cx="5295900" cy="3543300"/>
                    </a:xfrm>
                    <a:prstGeom prst="rect">
                      <a:avLst/>
                    </a:prstGeom>
                    <a:noFill/>
                    <a:ln w="9525">
                      <a:noFill/>
                    </a:ln>
                  </pic:spPr>
                </pic:pic>
              </a:graphicData>
            </a:graphic>
          </wp:inline>
        </w:drawing>
      </w: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三、2019年度支出决算情况说明</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2019年度本年支出合计639.35万元。其中：基本支出417.35万元，占本年支出65.28%；项目支出222.00万元，占本年支出34.72%；上缴上级支出0.00万元，占本年支出0.00%；经营支出0.00万元，占本年支出0.00%；对附属单位补助支出0.00万元，占本年支出0.00%。</w:t>
      </w:r>
    </w:p>
    <w:p>
      <w:pPr>
        <w:keepNext w:val="0"/>
        <w:keepLines w:val="0"/>
        <w:widowControl/>
        <w:suppressLineNumbers w:val="0"/>
        <w:snapToGrid w:val="0"/>
        <w:spacing w:before="0" w:beforeAutospacing="1" w:after="0" w:afterAutospacing="1" w:line="540" w:lineRule="atLeast"/>
        <w:ind w:left="0" w:right="0" w:firstLine="1280"/>
        <w:jc w:val="left"/>
        <w:rPr>
          <w:rFonts w:hint="eastAsia" w:ascii="仿宋_GB2312" w:eastAsia="仿宋_GB2312" w:cs="仿宋_GB2312"/>
          <w:kern w:val="0"/>
          <w:sz w:val="32"/>
          <w:szCs w:val="32"/>
        </w:rPr>
      </w:pPr>
      <w:r>
        <w:rPr>
          <w:rFonts w:hint="eastAsia" w:ascii="仿宋_GB2312" w:hAnsi="仿宋_GB2312" w:eastAsia="仿宋_GB2312" w:cs="仿宋_GB2312"/>
          <w:kern w:val="0"/>
          <w:sz w:val="32"/>
          <w:szCs w:val="32"/>
          <w:lang w:val="en-US" w:eastAsia="zh-CN" w:bidi="ar"/>
        </w:rPr>
        <w:t>图3：支出决算结构</w:t>
      </w:r>
    </w:p>
    <w:p>
      <w:pPr>
        <w:keepNext w:val="0"/>
        <w:keepLines w:val="0"/>
        <w:widowControl/>
        <w:suppressLineNumbers w:val="0"/>
        <w:snapToGrid w:val="0"/>
        <w:spacing w:before="0" w:beforeAutospacing="1" w:after="0" w:afterAutospacing="1" w:line="540" w:lineRule="atLeast"/>
        <w:ind w:left="0" w:leftChars="0" w:right="0" w:firstLine="0" w:firstLineChars="0"/>
        <w:jc w:val="left"/>
        <w:rPr>
          <w:rFonts w:hint="eastAsia" w:ascii="仿宋_GB2312" w:eastAsia="仿宋_GB2312" w:cs="仿宋_GB2312"/>
          <w:kern w:val="0"/>
          <w:sz w:val="32"/>
          <w:szCs w:val="32"/>
        </w:rPr>
      </w:pPr>
      <w:r>
        <w:rPr>
          <w:rFonts w:hint="eastAsia" w:ascii="仿宋_GB2312" w:hAnsi="仿宋_GB2312" w:eastAsia="仿宋_GB2312" w:cs="仿宋_GB2312"/>
          <w:snapToGrid w:val="0"/>
          <w:kern w:val="0"/>
          <w:sz w:val="24"/>
          <w:szCs w:val="24"/>
          <w:lang w:val="en-US" w:eastAsia="zh-CN" w:bidi="ar"/>
        </w:rPr>
        <w:drawing>
          <wp:inline distT="0" distB="0" distL="114300" distR="114300">
            <wp:extent cx="5295900" cy="3181350"/>
            <wp:effectExtent l="0" t="0" r="0" b="0"/>
            <wp:docPr id="23"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descr="IMG_266"/>
                    <pic:cNvPicPr>
                      <a:picLocks noChangeAspect="1"/>
                    </pic:cNvPicPr>
                  </pic:nvPicPr>
                  <pic:blipFill>
                    <a:blip r:embed="rId15"/>
                    <a:stretch>
                      <a:fillRect/>
                    </a:stretch>
                  </pic:blipFill>
                  <pic:spPr>
                    <a:xfrm>
                      <a:off x="0" y="0"/>
                      <a:ext cx="5295900" cy="3181350"/>
                    </a:xfrm>
                    <a:prstGeom prst="rect">
                      <a:avLst/>
                    </a:prstGeom>
                    <a:noFill/>
                    <a:ln w="9525">
                      <a:noFill/>
                    </a:ln>
                  </pic:spPr>
                </pic:pic>
              </a:graphicData>
            </a:graphic>
          </wp:inline>
        </w:drawing>
      </w: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四、2019年度财政拨款收入支出决算总体情况说明</w:t>
      </w:r>
    </w:p>
    <w:p>
      <w:pPr>
        <w:keepNext w:val="0"/>
        <w:keepLines w:val="0"/>
        <w:widowControl/>
        <w:suppressLineNumbers w:val="0"/>
        <w:snapToGrid w:val="0"/>
        <w:spacing w:before="0" w:beforeAutospacing="1" w:after="0" w:afterAutospacing="1" w:line="540" w:lineRule="atLeast"/>
        <w:ind w:left="0" w:right="0" w:firstLine="960"/>
        <w:jc w:val="left"/>
        <w:rPr>
          <w:rFonts w:hint="eastAsia" w:ascii="仿宋_GB2312" w:hAnsi="仿宋_GB2312" w:eastAsia="仿宋_GB2312" w:cs="仿宋_GB2312"/>
          <w:kern w:val="0"/>
          <w:sz w:val="32"/>
          <w:szCs w:val="32"/>
          <w:highlight w:val="yellow"/>
          <w:lang w:val="en-US" w:eastAsia="zh-CN" w:bidi="ar"/>
        </w:rPr>
      </w:pPr>
      <w:r>
        <w:rPr>
          <w:rFonts w:hint="eastAsia" w:ascii="仿宋_GB2312" w:hAnsi="仿宋_GB2312" w:eastAsia="仿宋_GB2312" w:cs="仿宋_GB2312"/>
          <w:kern w:val="0"/>
          <w:sz w:val="32"/>
          <w:szCs w:val="32"/>
          <w:lang w:val="en-US" w:eastAsia="zh-CN" w:bidi="ar"/>
        </w:rPr>
        <w:t>2019年度财政拨款收、支总计637.07万元。与2018年相比，财政拨款收、支总计各增加87.17万元，增长15.85%。</w:t>
      </w:r>
      <w:r>
        <w:rPr>
          <w:rFonts w:hint="eastAsia" w:ascii="仿宋_GB2312" w:hAnsi="仿宋_GB2312" w:eastAsia="仿宋_GB2312" w:cs="仿宋_GB2312"/>
          <w:kern w:val="0"/>
          <w:sz w:val="32"/>
          <w:szCs w:val="32"/>
          <w:highlight w:val="none"/>
          <w:lang w:val="en-US" w:eastAsia="zh-CN" w:bidi="ar"/>
        </w:rPr>
        <w:t>一、根据省、市调整机关工作人员工资标准，工资福利支出相应增加；二、职工（退休）年度奖励增加；三、单位职能调整，新增相关专项项目，项目费用增加。</w:t>
      </w:r>
    </w:p>
    <w:p>
      <w:pPr>
        <w:keepNext w:val="0"/>
        <w:keepLines w:val="0"/>
        <w:widowControl/>
        <w:suppressLineNumbers w:val="0"/>
        <w:snapToGrid w:val="0"/>
        <w:spacing w:before="0" w:beforeAutospacing="1" w:after="0" w:afterAutospacing="1" w:line="540" w:lineRule="atLeast"/>
        <w:ind w:left="0" w:right="0" w:firstLine="96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图4：财政拨款收、支决算总计变动情况</w:t>
      </w:r>
    </w:p>
    <w:p>
      <w:pPr>
        <w:pStyle w:val="2"/>
        <w:jc w:val="right"/>
        <w:rPr>
          <w:rFonts w:hint="eastAsia"/>
        </w:rPr>
      </w:pPr>
      <w:r>
        <w:rPr>
          <w:rFonts w:hint="eastAsia" w:cs="仿宋_GB2312"/>
          <w:kern w:val="0"/>
          <w:sz w:val="32"/>
          <w:szCs w:val="32"/>
          <w:lang w:val="en-US" w:eastAsia="zh-CN" w:bidi="ar"/>
        </w:rPr>
        <w:t xml:space="preserve"> </w:t>
      </w:r>
      <w:r>
        <w:rPr>
          <w:rFonts w:hint="eastAsia" w:cs="仿宋_GB2312"/>
          <w:kern w:val="0"/>
          <w:sz w:val="24"/>
          <w:szCs w:val="24"/>
          <w:lang w:val="en-US" w:eastAsia="zh-CN" w:bidi="ar"/>
        </w:rPr>
        <w:t>单位：万元</w:t>
      </w:r>
    </w:p>
    <w:p>
      <w:pPr>
        <w:keepNext w:val="0"/>
        <w:keepLines w:val="0"/>
        <w:widowControl/>
        <w:suppressLineNumbers w:val="0"/>
        <w:snapToGrid w:val="0"/>
        <w:spacing w:before="0" w:beforeAutospacing="1" w:after="0" w:afterAutospacing="1" w:line="540" w:lineRule="atLeast"/>
        <w:ind w:left="0" w:leftChars="0" w:right="0" w:firstLine="0" w:firstLineChars="0"/>
        <w:jc w:val="left"/>
        <w:rPr>
          <w:rFonts w:hint="eastAsia" w:ascii="仿宋_GB2312" w:eastAsia="仿宋_GB2312" w:cs="仿宋_GB2312"/>
          <w:kern w:val="0"/>
          <w:sz w:val="32"/>
          <w:szCs w:val="32"/>
        </w:rPr>
      </w:pPr>
      <w:r>
        <w:rPr>
          <w:rFonts w:hint="eastAsia" w:ascii="仿宋_GB2312" w:hAnsi="仿宋_GB2312" w:eastAsia="仿宋_GB2312" w:cs="仿宋_GB2312"/>
          <w:snapToGrid w:val="0"/>
          <w:kern w:val="0"/>
          <w:sz w:val="24"/>
          <w:szCs w:val="24"/>
          <w:lang w:val="en-US" w:eastAsia="zh-CN" w:bidi="ar"/>
        </w:rPr>
        <w:drawing>
          <wp:inline distT="0" distB="0" distL="114300" distR="114300">
            <wp:extent cx="5295900" cy="3143250"/>
            <wp:effectExtent l="0" t="0" r="0" b="0"/>
            <wp:docPr id="14"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IMG_267"/>
                    <pic:cNvPicPr>
                      <a:picLocks noChangeAspect="1"/>
                    </pic:cNvPicPr>
                  </pic:nvPicPr>
                  <pic:blipFill>
                    <a:blip r:embed="rId16"/>
                    <a:stretch>
                      <a:fillRect/>
                    </a:stretch>
                  </pic:blipFill>
                  <pic:spPr>
                    <a:xfrm>
                      <a:off x="0" y="0"/>
                      <a:ext cx="5295900" cy="3143250"/>
                    </a:xfrm>
                    <a:prstGeom prst="rect">
                      <a:avLst/>
                    </a:prstGeom>
                    <a:noFill/>
                    <a:ln w="9525">
                      <a:noFill/>
                    </a:ln>
                  </pic:spPr>
                </pic:pic>
              </a:graphicData>
            </a:graphic>
          </wp:inline>
        </w:drawing>
      </w:r>
      <w:r>
        <w:rPr>
          <w:rFonts w:hint="eastAsia" w:ascii="仿宋_GB2312" w:hAnsi="仿宋_GB2312" w:eastAsia="仿宋_GB2312" w:cs="仿宋_GB2312"/>
          <w:kern w:val="0"/>
          <w:sz w:val="32"/>
          <w:szCs w:val="32"/>
          <w:lang w:val="en-US" w:eastAsia="zh-CN" w:bidi="ar"/>
        </w:rPr>
        <w:t xml:space="preserve"> </w:t>
      </w:r>
    </w:p>
    <w:p>
      <w:pPr>
        <w:pStyle w:val="10"/>
        <w:keepNext w:val="0"/>
        <w:keepLines w:val="0"/>
        <w:widowControl/>
        <w:suppressLineNumbers w:val="0"/>
        <w:snapToGrid w:val="0"/>
        <w:spacing w:before="0" w:beforeAutospacing="1" w:after="0" w:afterAutospacing="1" w:line="540" w:lineRule="atLeast"/>
        <w:ind w:left="0" w:right="0" w:firstLine="640"/>
        <w:jc w:val="both"/>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五、2019年度一般公共预算财政拨款支出决算情况说明</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(一)财政拨款支出决算总体情况。</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hAnsi="仿宋_GB2312" w:eastAsia="仿宋_GB2312" w:cs="仿宋_GB2312"/>
          <w:kern w:val="0"/>
          <w:sz w:val="32"/>
          <w:szCs w:val="32"/>
          <w:highlight w:val="none"/>
          <w:lang w:val="en-US" w:eastAsia="zh-CN" w:bidi="ar"/>
        </w:rPr>
      </w:pPr>
      <w:r>
        <w:rPr>
          <w:rFonts w:hint="eastAsia" w:ascii="仿宋_GB2312" w:hAnsi="仿宋_GB2312" w:eastAsia="仿宋_GB2312" w:cs="仿宋_GB2312"/>
          <w:kern w:val="0"/>
          <w:sz w:val="32"/>
          <w:szCs w:val="32"/>
          <w:lang w:val="en-US" w:eastAsia="zh-CN" w:bidi="ar"/>
        </w:rPr>
        <w:t>2019年度财政拨款支出637.07万元，占本年支出合计的</w:t>
      </w:r>
      <w:r>
        <w:rPr>
          <w:rFonts w:hint="eastAsia" w:ascii="仿宋_GB2312" w:hAnsi="仿宋_GB2312" w:eastAsia="仿宋_GB2312" w:cs="仿宋_GB2312"/>
          <w:kern w:val="0"/>
          <w:sz w:val="30"/>
          <w:szCs w:val="30"/>
          <w:lang w:val="en-US" w:eastAsia="zh-CN" w:bidi="ar"/>
        </w:rPr>
        <w:t>99.64</w:t>
      </w:r>
      <w:r>
        <w:rPr>
          <w:rFonts w:hint="eastAsia" w:ascii="仿宋_GB2312" w:hAnsi="仿宋_GB2312" w:eastAsia="仿宋_GB2312" w:cs="仿宋_GB2312"/>
          <w:kern w:val="0"/>
          <w:sz w:val="32"/>
          <w:szCs w:val="32"/>
          <w:lang w:val="en-US" w:eastAsia="zh-CN" w:bidi="ar"/>
        </w:rPr>
        <w:t>%。与2018年相比，财政拨款支出增加</w:t>
      </w:r>
      <w:r>
        <w:rPr>
          <w:rFonts w:hint="eastAsia" w:ascii="仿宋_GB2312" w:hAnsi="仿宋_GB2312" w:eastAsia="仿宋_GB2312" w:cs="仿宋_GB2312"/>
          <w:kern w:val="0"/>
          <w:sz w:val="24"/>
          <w:szCs w:val="24"/>
          <w:lang w:val="en-US" w:eastAsia="zh-CN" w:bidi="ar"/>
        </w:rPr>
        <w:t xml:space="preserve"> </w:t>
      </w:r>
      <w:r>
        <w:rPr>
          <w:rFonts w:hint="eastAsia" w:ascii="仿宋_GB2312" w:hAnsi="仿宋_GB2312" w:eastAsia="仿宋_GB2312" w:cs="仿宋_GB2312"/>
          <w:kern w:val="0"/>
          <w:sz w:val="32"/>
          <w:szCs w:val="32"/>
          <w:lang w:val="en-US" w:eastAsia="zh-CN" w:bidi="ar"/>
        </w:rPr>
        <w:t>87.18万元，增长15.85%。</w:t>
      </w:r>
      <w:r>
        <w:rPr>
          <w:rFonts w:hint="eastAsia" w:ascii="仿宋_GB2312" w:hAnsi="仿宋_GB2312" w:eastAsia="仿宋_GB2312" w:cs="仿宋_GB2312"/>
          <w:kern w:val="0"/>
          <w:sz w:val="32"/>
          <w:szCs w:val="32"/>
          <w:highlight w:val="none"/>
          <w:lang w:val="en-US" w:eastAsia="zh-CN" w:bidi="ar"/>
        </w:rPr>
        <w:t>一、根据省、市调整机关工作人员工资标准，工资福利支出相应增加；二、职工（退休）年度奖励增加；三、单位职能调整，新增相关专项项目，项目费用增加。</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(二)财政拨款支出决算结构情况。</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2019年度财政拨款支出637.07万元，主要用于以下方面：一般公共服务(类)支出547.43万元，占85.93%；国防(类)支出0.00万元，占0.00%；公共安全(类)支出0.00万元，占0.00%；教育(类)支出0.00万元，占0.00%；科学技术(类)支出0.00万元，占0.00%；文化旅游体育与传媒(类)支出0.00万元，占0.00%；社会保障和就业(类)支出35.57万元，占5.58%；卫生健康(类)支出11.69万元，占1.83%；节能环保(类)支出0.00万元，占0.00%；城乡社区(类)支出0.00万元，占0.00%；农林水(类)支出0.00万元，占0.00%；交通运输(类)支出0.00万元，占0.00%；资源勘探信息等(类)支出0.00万元，占0.00%；商业服务业等(类)支出0.00万元，占0.00%；金融(类)支出0.00万元，占0.00%；援助其他地区(类)支出0.00万元，占0.00%；自然资源海洋气象等(类)支出0.00万元，占0.00%；住房保障(类)支出42.38万元，占6.65%；粮油物资储备(类)支出0.00万元，占0.00%；灾害防治及应急管理(类)支出0.00万元，占0.00%；其他(类)支出0.00万元，占0.00%。</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(三)财政拨款支出决算具体情况。</w:t>
      </w:r>
    </w:p>
    <w:p>
      <w:pPr>
        <w:numPr>
          <w:ilvl w:val="0"/>
          <w:numId w:val="0"/>
        </w:numPr>
        <w:spacing w:after="156" w:afterLines="50" w:line="600" w:lineRule="exact"/>
        <w:ind w:leftChars="200" w:right="0" w:rightChars="0" w:firstLine="640" w:firstLineChars="200"/>
        <w:rPr>
          <w:rFonts w:hint="eastAsia" w:ascii="仿宋_GB2312" w:eastAsia="仿宋_GB2312" w:cs="仿宋_GB2312"/>
          <w:kern w:val="0"/>
          <w:sz w:val="32"/>
          <w:szCs w:val="32"/>
          <w:highlight w:val="none"/>
        </w:rPr>
      </w:pPr>
      <w:r>
        <w:rPr>
          <w:rFonts w:hint="eastAsia" w:cs="仿宋_GB2312"/>
          <w:kern w:val="0"/>
          <w:sz w:val="32"/>
          <w:szCs w:val="32"/>
          <w:highlight w:val="none"/>
          <w:lang w:val="en-US" w:eastAsia="zh-CN" w:bidi="ar"/>
        </w:rPr>
        <w:t>1、</w:t>
      </w:r>
      <w:r>
        <w:rPr>
          <w:rFonts w:hint="eastAsia" w:ascii="仿宋_GB2312" w:hAnsi="仿宋_GB2312" w:eastAsia="仿宋_GB2312" w:cs="仿宋_GB2312"/>
          <w:kern w:val="0"/>
          <w:sz w:val="32"/>
          <w:szCs w:val="32"/>
          <w:highlight w:val="none"/>
          <w:lang w:val="en-US" w:eastAsia="zh-CN" w:bidi="ar"/>
        </w:rPr>
        <w:t>2019年一般公共预算财政拨款支出年初预算为691.04万元，支出决算为637.07万元，完成年初预算的92.19%。其中：基本支出415.06万元，项目支出222.00万元。项目支出主要用于《洪山宣传》专用经费及网站维护 93.1 万元，主要成效是</w:t>
      </w:r>
      <w:r>
        <w:rPr>
          <w:rFonts w:hint="eastAsia" w:cs="仿宋" w:asciiTheme="minorEastAsia" w:hAnsiTheme="minorEastAsia"/>
          <w:sz w:val="32"/>
          <w:szCs w:val="32"/>
          <w:highlight w:val="none"/>
        </w:rPr>
        <w:t>编</w:t>
      </w:r>
      <w:r>
        <w:rPr>
          <w:rFonts w:hint="eastAsia" w:cs="仿宋" w:asciiTheme="minorEastAsia" w:hAnsiTheme="minorEastAsia"/>
          <w:sz w:val="32"/>
          <w:szCs w:val="32"/>
        </w:rPr>
        <w:t>辑《洪山宣传》全年</w:t>
      </w:r>
      <w:r>
        <w:rPr>
          <w:rFonts w:hint="eastAsia" w:cs="仿宋" w:asciiTheme="minorEastAsia" w:hAnsiTheme="minorEastAsia"/>
          <w:sz w:val="32"/>
          <w:szCs w:val="32"/>
          <w:lang w:eastAsia="zh-CN"/>
        </w:rPr>
        <w:t>报纸</w:t>
      </w:r>
      <w:r>
        <w:rPr>
          <w:rFonts w:hint="eastAsia" w:cs="仿宋" w:asciiTheme="minorEastAsia" w:hAnsiTheme="minorEastAsia"/>
          <w:sz w:val="32"/>
          <w:szCs w:val="32"/>
        </w:rPr>
        <w:t>。进一步唱响洪山主旋律，传播洪山好声音，为我区拼搏赶超，创新发展营造了良好的社会舆论环境</w:t>
      </w:r>
      <w:r>
        <w:rPr>
          <w:rFonts w:hint="eastAsia" w:cs="仿宋" w:asciiTheme="minorEastAsia" w:hAnsiTheme="minorEastAsia"/>
          <w:sz w:val="32"/>
          <w:szCs w:val="32"/>
          <w:lang w:eastAsia="zh-CN"/>
        </w:rPr>
        <w:t>；</w:t>
      </w:r>
      <w:r>
        <w:rPr>
          <w:rFonts w:hint="eastAsia" w:ascii="仿宋_GB2312" w:hAnsi="仿宋_GB2312" w:eastAsia="仿宋_GB2312" w:cs="仿宋_GB2312"/>
          <w:kern w:val="0"/>
          <w:sz w:val="32"/>
          <w:szCs w:val="32"/>
          <w:lang w:val="en-US" w:eastAsia="zh-CN" w:bidi="ar"/>
        </w:rPr>
        <w:t xml:space="preserve"> 融媒体设备购置40.22 万元</w:t>
      </w:r>
      <w:r>
        <w:rPr>
          <w:rFonts w:hint="eastAsia" w:ascii="仿宋_GB2312" w:hAnsi="仿宋_GB2312" w:eastAsia="仿宋_GB2312" w:cs="仿宋_GB2312"/>
          <w:kern w:val="0"/>
          <w:sz w:val="32"/>
          <w:szCs w:val="32"/>
          <w:highlight w:val="none"/>
          <w:lang w:val="en-US" w:eastAsia="zh-CN" w:bidi="ar"/>
        </w:rPr>
        <w:t>，主要成效是</w:t>
      </w:r>
      <w:r>
        <w:rPr>
          <w:rFonts w:hint="eastAsia" w:cs="仿宋_GB2312"/>
          <w:kern w:val="0"/>
          <w:sz w:val="32"/>
          <w:szCs w:val="32"/>
          <w:highlight w:val="none"/>
          <w:lang w:val="en-US" w:eastAsia="zh-CN" w:bidi="ar"/>
        </w:rPr>
        <w:t>增加</w:t>
      </w:r>
      <w:r>
        <w:rPr>
          <w:rFonts w:hint="eastAsia" w:ascii="仿宋_GB2312" w:hAnsi="仿宋_GB2312" w:eastAsia="仿宋_GB2312" w:cs="仿宋_GB2312"/>
          <w:kern w:val="0"/>
          <w:sz w:val="32"/>
          <w:szCs w:val="32"/>
          <w:highlight w:val="none"/>
          <w:lang w:val="en-US" w:eastAsia="zh-CN" w:bidi="ar"/>
        </w:rPr>
        <w:t>媒体移动直播设备及虚拟演播系统</w:t>
      </w:r>
      <w:r>
        <w:rPr>
          <w:rFonts w:hint="eastAsia" w:cs="仿宋_GB2312"/>
          <w:kern w:val="0"/>
          <w:sz w:val="32"/>
          <w:szCs w:val="32"/>
          <w:highlight w:val="none"/>
          <w:lang w:val="en-US" w:eastAsia="zh-CN" w:bidi="ar"/>
        </w:rPr>
        <w:t>，打造</w:t>
      </w:r>
      <w:r>
        <w:rPr>
          <w:rFonts w:hint="eastAsia" w:ascii="仿宋_GB2312" w:hAnsi="仿宋_GB2312" w:eastAsia="仿宋_GB2312" w:cs="仿宋_GB2312"/>
          <w:kern w:val="0"/>
          <w:sz w:val="32"/>
          <w:szCs w:val="32"/>
          <w:highlight w:val="none"/>
          <w:lang w:val="en-US" w:eastAsia="zh-CN" w:bidi="ar"/>
        </w:rPr>
        <w:t>中心的</w:t>
      </w:r>
      <w:r>
        <w:rPr>
          <w:rFonts w:hint="eastAsia" w:cs="仿宋_GB2312"/>
          <w:kern w:val="0"/>
          <w:sz w:val="32"/>
          <w:szCs w:val="32"/>
          <w:highlight w:val="none"/>
          <w:lang w:val="en-US" w:eastAsia="zh-CN" w:bidi="ar"/>
        </w:rPr>
        <w:t>融媒体设备配备，</w:t>
      </w:r>
      <w:r>
        <w:rPr>
          <w:rFonts w:hint="eastAsia" w:ascii="仿宋_GB2312" w:hAnsi="仿宋_GB2312" w:eastAsia="仿宋_GB2312" w:cs="仿宋_GB2312"/>
          <w:kern w:val="0"/>
          <w:sz w:val="32"/>
          <w:szCs w:val="32"/>
          <w:highlight w:val="none"/>
          <w:lang w:val="en-US" w:eastAsia="zh-CN" w:bidi="ar"/>
        </w:rPr>
        <w:t>加强对新媒体技术的运用</w:t>
      </w:r>
      <w:r>
        <w:rPr>
          <w:rFonts w:hint="eastAsia" w:cs="仿宋_GB2312"/>
          <w:kern w:val="0"/>
          <w:sz w:val="32"/>
          <w:szCs w:val="32"/>
          <w:highlight w:val="none"/>
          <w:lang w:val="en-US" w:eastAsia="zh-CN" w:bidi="ar"/>
        </w:rPr>
        <w:t>能力</w:t>
      </w:r>
      <w:r>
        <w:rPr>
          <w:rFonts w:hint="eastAsia" w:ascii="仿宋_GB2312" w:hAnsi="仿宋_GB2312" w:eastAsia="仿宋_GB2312" w:cs="仿宋_GB2312"/>
          <w:kern w:val="0"/>
          <w:sz w:val="32"/>
          <w:szCs w:val="32"/>
          <w:highlight w:val="none"/>
          <w:lang w:val="en-US" w:eastAsia="zh-CN" w:bidi="ar"/>
        </w:rPr>
        <w:t>；重大新闻策划及制作费37万元</w:t>
      </w:r>
      <w:r>
        <w:rPr>
          <w:rFonts w:hint="eastAsia" w:cs="仿宋_GB2312"/>
          <w:kern w:val="0"/>
          <w:sz w:val="32"/>
          <w:szCs w:val="32"/>
          <w:highlight w:val="none"/>
          <w:lang w:val="en-US" w:eastAsia="zh-CN" w:bidi="ar"/>
        </w:rPr>
        <w:t>，</w:t>
      </w:r>
      <w:r>
        <w:rPr>
          <w:rFonts w:hint="eastAsia" w:ascii="仿宋_GB2312" w:hAnsi="仿宋_GB2312" w:eastAsia="仿宋_GB2312" w:cs="仿宋_GB2312"/>
          <w:kern w:val="0"/>
          <w:sz w:val="32"/>
          <w:szCs w:val="32"/>
          <w:highlight w:val="none"/>
          <w:lang w:val="en-US" w:eastAsia="zh-CN" w:bidi="ar"/>
        </w:rPr>
        <w:t>主要成效是紧紧围绕全区重点工作、重大活动，深挖典型</w:t>
      </w:r>
      <w:r>
        <w:rPr>
          <w:rFonts w:hint="eastAsia" w:cs="仿宋_GB2312"/>
          <w:kern w:val="0"/>
          <w:sz w:val="32"/>
          <w:szCs w:val="32"/>
          <w:highlight w:val="none"/>
          <w:lang w:val="en-US" w:eastAsia="zh-CN" w:bidi="ar"/>
        </w:rPr>
        <w:t>。</w:t>
      </w:r>
      <w:r>
        <w:rPr>
          <w:rFonts w:hint="eastAsia" w:ascii="仿宋_GB2312" w:hAnsi="仿宋_GB2312" w:eastAsia="仿宋_GB2312" w:cs="仿宋_GB2312"/>
          <w:kern w:val="0"/>
          <w:sz w:val="32"/>
          <w:szCs w:val="32"/>
          <w:highlight w:val="none"/>
          <w:lang w:val="en-US" w:eastAsia="zh-CN" w:bidi="ar"/>
        </w:rPr>
        <w:t>积极宣传</w:t>
      </w:r>
      <w:r>
        <w:rPr>
          <w:rFonts w:hint="eastAsia" w:cs="仿宋_GB2312"/>
          <w:kern w:val="0"/>
          <w:sz w:val="32"/>
          <w:szCs w:val="32"/>
          <w:highlight w:val="none"/>
          <w:lang w:val="en-US" w:eastAsia="zh-CN" w:bidi="ar"/>
        </w:rPr>
        <w:t>我</w:t>
      </w:r>
      <w:r>
        <w:rPr>
          <w:rFonts w:hint="eastAsia" w:ascii="仿宋_GB2312" w:hAnsi="仿宋_GB2312" w:eastAsia="仿宋_GB2312" w:cs="仿宋_GB2312"/>
          <w:kern w:val="0"/>
          <w:sz w:val="32"/>
          <w:szCs w:val="32"/>
          <w:highlight w:val="none"/>
          <w:lang w:val="en-US" w:eastAsia="zh-CN" w:bidi="ar"/>
        </w:rPr>
        <w:t>区各方面的工作成就、典型经验</w:t>
      </w:r>
      <w:r>
        <w:rPr>
          <w:rFonts w:hint="eastAsia" w:cs="仿宋_GB2312"/>
          <w:kern w:val="0"/>
          <w:sz w:val="32"/>
          <w:szCs w:val="32"/>
          <w:highlight w:val="none"/>
          <w:lang w:val="en-US" w:eastAsia="zh-CN" w:bidi="ar"/>
        </w:rPr>
        <w:t>的推广</w:t>
      </w:r>
      <w:r>
        <w:rPr>
          <w:rFonts w:hint="eastAsia" w:ascii="仿宋_GB2312" w:hAnsi="仿宋_GB2312" w:eastAsia="仿宋_GB2312" w:cs="仿宋_GB2312"/>
          <w:kern w:val="0"/>
          <w:sz w:val="32"/>
          <w:szCs w:val="32"/>
          <w:highlight w:val="none"/>
          <w:lang w:val="en-US" w:eastAsia="zh-CN" w:bidi="ar"/>
        </w:rPr>
        <w:t>策划；舆情监控20万元，主要成效是</w:t>
      </w:r>
      <w:r>
        <w:rPr>
          <w:rFonts w:hint="eastAsia" w:cs="仿宋_GB2312"/>
          <w:kern w:val="0"/>
          <w:sz w:val="32"/>
          <w:szCs w:val="32"/>
          <w:highlight w:val="none"/>
          <w:lang w:val="en-US" w:eastAsia="zh-CN" w:bidi="ar"/>
        </w:rPr>
        <w:t>通过</w:t>
      </w:r>
      <w:r>
        <w:rPr>
          <w:rFonts w:hint="eastAsia" w:ascii="仿宋_GB2312" w:hAnsi="仿宋_GB2312" w:eastAsia="仿宋_GB2312" w:cs="仿宋_GB2312"/>
          <w:kern w:val="0"/>
          <w:sz w:val="32"/>
          <w:szCs w:val="32"/>
          <w:highlight w:val="none"/>
          <w:lang w:val="en-US" w:eastAsia="zh-CN" w:bidi="ar"/>
        </w:rPr>
        <w:t>网络舆情的日常监测，收集、分析、研判和应对洪山区舆情信息</w:t>
      </w:r>
      <w:r>
        <w:rPr>
          <w:rFonts w:hint="eastAsia" w:cs="仿宋_GB2312"/>
          <w:kern w:val="0"/>
          <w:sz w:val="32"/>
          <w:szCs w:val="32"/>
          <w:highlight w:val="none"/>
          <w:lang w:val="en-US" w:eastAsia="zh-CN" w:bidi="ar"/>
        </w:rPr>
        <w:t>。对负面舆情、负面新闻报道的协调和引导，降低负面影响</w:t>
      </w:r>
      <w:r>
        <w:rPr>
          <w:rFonts w:hint="eastAsia" w:ascii="仿宋_GB2312" w:hAnsi="仿宋_GB2312" w:eastAsia="仿宋_GB2312" w:cs="仿宋_GB2312"/>
          <w:kern w:val="0"/>
          <w:sz w:val="32"/>
          <w:szCs w:val="32"/>
          <w:highlight w:val="none"/>
          <w:lang w:val="en-US" w:eastAsia="zh-CN" w:bidi="ar"/>
        </w:rPr>
        <w:t>；新闻设备购置及设备维修15.18万元，主要成效是设备升级维修，提高中心工作效率；物业管理费9.6万元，主要成效是</w:t>
      </w:r>
      <w:r>
        <w:rPr>
          <w:rFonts w:hint="eastAsia" w:cs="仿宋_GB2312"/>
          <w:kern w:val="0"/>
          <w:sz w:val="32"/>
          <w:szCs w:val="32"/>
          <w:highlight w:val="none"/>
          <w:lang w:val="en-US" w:eastAsia="zh-CN" w:bidi="ar"/>
        </w:rPr>
        <w:t>保障中心的</w:t>
      </w:r>
      <w:r>
        <w:rPr>
          <w:rFonts w:hint="eastAsia" w:ascii="仿宋_GB2312" w:hAnsi="仿宋_GB2312" w:eastAsia="仿宋_GB2312" w:cs="仿宋_GB2312"/>
          <w:kern w:val="0"/>
          <w:sz w:val="32"/>
          <w:szCs w:val="32"/>
          <w:highlight w:val="none"/>
          <w:lang w:val="en-US" w:eastAsia="zh-CN" w:bidi="ar"/>
        </w:rPr>
        <w:t>良好办公场</w:t>
      </w:r>
      <w:r>
        <w:rPr>
          <w:rFonts w:hint="eastAsia" w:cs="仿宋_GB2312"/>
          <w:kern w:val="0"/>
          <w:sz w:val="32"/>
          <w:szCs w:val="32"/>
          <w:highlight w:val="none"/>
          <w:lang w:val="en-US" w:eastAsia="zh-CN" w:bidi="ar"/>
        </w:rPr>
        <w:t>所环境</w:t>
      </w:r>
      <w:r>
        <w:rPr>
          <w:rFonts w:hint="eastAsia" w:ascii="仿宋_GB2312" w:hAnsi="仿宋_GB2312" w:eastAsia="仿宋_GB2312" w:cs="仿宋_GB2312"/>
          <w:kern w:val="0"/>
          <w:sz w:val="32"/>
          <w:szCs w:val="32"/>
          <w:highlight w:val="none"/>
          <w:lang w:val="en-US" w:eastAsia="zh-CN" w:bidi="ar"/>
        </w:rPr>
        <w:t>；党建（）纪检工作经费、文明创建工作经费4.37万元，主要成效是党</w:t>
      </w:r>
      <w:r>
        <w:rPr>
          <w:rFonts w:hint="eastAsia" w:cs="仿宋_GB2312"/>
          <w:kern w:val="0"/>
          <w:sz w:val="32"/>
          <w:szCs w:val="32"/>
          <w:highlight w:val="none"/>
          <w:lang w:val="en-US" w:eastAsia="zh-CN" w:bidi="ar"/>
        </w:rPr>
        <w:t>支部</w:t>
      </w:r>
      <w:r>
        <w:rPr>
          <w:rFonts w:hint="eastAsia" w:ascii="仿宋_GB2312" w:hAnsi="仿宋_GB2312" w:eastAsia="仿宋_GB2312" w:cs="仿宋_GB2312"/>
          <w:kern w:val="0"/>
          <w:sz w:val="32"/>
          <w:szCs w:val="32"/>
          <w:highlight w:val="none"/>
          <w:lang w:val="en-US" w:eastAsia="zh-CN" w:bidi="ar"/>
        </w:rPr>
        <w:t>深入推进“两学一做”学习教育常态化制度化建设；深入学习贯彻以习近平同志为核心的党中央治国理政新理念新思想新战略，大力推进社会主义核心价值观教育实践</w:t>
      </w:r>
      <w:r>
        <w:rPr>
          <w:rFonts w:hint="eastAsia" w:cs="仿宋_GB2312"/>
          <w:kern w:val="0"/>
          <w:sz w:val="32"/>
          <w:szCs w:val="32"/>
          <w:highlight w:val="none"/>
          <w:u w:val="none"/>
          <w:lang w:val="en-US" w:eastAsia="zh-CN" w:bidi="ar"/>
        </w:rPr>
        <w:t>。</w:t>
      </w:r>
      <w:r>
        <w:rPr>
          <w:rFonts w:hint="eastAsia" w:ascii="仿宋_GB2312" w:hAnsi="仿宋_GB2312" w:eastAsia="仿宋_GB2312" w:cs="仿宋_GB2312"/>
          <w:kern w:val="0"/>
          <w:sz w:val="32"/>
          <w:szCs w:val="32"/>
          <w:highlight w:val="none"/>
          <w:u w:val="none"/>
          <w:lang w:val="en-US" w:eastAsia="zh-CN" w:bidi="ar"/>
        </w:rPr>
        <w:t>购买服务</w:t>
      </w:r>
      <w:r>
        <w:rPr>
          <w:rFonts w:hint="eastAsia" w:cs="仿宋_GB2312"/>
          <w:kern w:val="0"/>
          <w:sz w:val="32"/>
          <w:szCs w:val="32"/>
          <w:highlight w:val="none"/>
          <w:u w:val="none"/>
          <w:lang w:val="en-US" w:eastAsia="zh-CN" w:bidi="ar"/>
        </w:rPr>
        <w:t>费2万元，</w:t>
      </w:r>
      <w:r>
        <w:rPr>
          <w:rFonts w:hint="eastAsia" w:ascii="仿宋_GB2312" w:hAnsi="仿宋_GB2312" w:eastAsia="仿宋_GB2312" w:cs="仿宋_GB2312"/>
          <w:kern w:val="0"/>
          <w:sz w:val="32"/>
          <w:szCs w:val="32"/>
          <w:highlight w:val="none"/>
          <w:u w:val="none"/>
          <w:lang w:val="en-US" w:eastAsia="zh-CN" w:bidi="ar"/>
        </w:rPr>
        <w:t>主要成效是</w:t>
      </w:r>
      <w:r>
        <w:rPr>
          <w:rFonts w:hint="eastAsia" w:cs="仿宋_GB2312"/>
          <w:kern w:val="0"/>
          <w:sz w:val="32"/>
          <w:szCs w:val="32"/>
          <w:highlight w:val="none"/>
          <w:u w:val="none"/>
          <w:lang w:val="en-US" w:eastAsia="zh-CN" w:bidi="ar"/>
        </w:rPr>
        <w:t>聘请法律顾问</w:t>
      </w:r>
      <w:r>
        <w:rPr>
          <w:rFonts w:hint="eastAsia" w:cs="仿宋_GB2312"/>
          <w:kern w:val="0"/>
          <w:sz w:val="32"/>
          <w:szCs w:val="32"/>
          <w:highlight w:val="none"/>
          <w:lang w:val="en-US" w:eastAsia="zh-CN" w:bidi="ar"/>
        </w:rPr>
        <w:t>提高依法行政能力，加强</w:t>
      </w:r>
      <w:r>
        <w:rPr>
          <w:rFonts w:hint="eastAsia" w:ascii="仿宋_GB2312" w:hAnsi="仿宋_GB2312" w:eastAsia="仿宋_GB2312" w:cs="仿宋_GB2312"/>
          <w:kern w:val="0"/>
          <w:sz w:val="32"/>
          <w:szCs w:val="32"/>
          <w:highlight w:val="none"/>
          <w:lang w:val="en-US" w:eastAsia="zh-CN" w:bidi="ar"/>
        </w:rPr>
        <w:t>单位重要决策、规范性文件和合同性文件的</w:t>
      </w:r>
      <w:r>
        <w:rPr>
          <w:rFonts w:hint="eastAsia" w:cs="仿宋_GB2312"/>
          <w:kern w:val="0"/>
          <w:sz w:val="32"/>
          <w:szCs w:val="32"/>
          <w:highlight w:val="none"/>
          <w:lang w:val="en-US" w:eastAsia="zh-CN" w:bidi="ar"/>
        </w:rPr>
        <w:t>法律规划</w:t>
      </w:r>
      <w:r>
        <w:rPr>
          <w:rFonts w:hint="eastAsia" w:ascii="仿宋_GB2312" w:hAnsi="仿宋_GB2312" w:eastAsia="仿宋_GB2312" w:cs="仿宋_GB2312"/>
          <w:kern w:val="0"/>
          <w:sz w:val="32"/>
          <w:szCs w:val="32"/>
          <w:highlight w:val="none"/>
          <w:lang w:val="en-US" w:eastAsia="zh-CN" w:bidi="ar"/>
        </w:rPr>
        <w:t>；“七五”普法0.53万元，主要成效是不断深化“七五”普法工作，认真落实普法责任目标</w:t>
      </w:r>
      <w:r>
        <w:rPr>
          <w:rFonts w:hint="eastAsia" w:cs="仿宋_GB2312"/>
          <w:kern w:val="0"/>
          <w:sz w:val="32"/>
          <w:szCs w:val="32"/>
          <w:highlight w:val="none"/>
          <w:lang w:val="en-US" w:eastAsia="zh-CN" w:bidi="ar"/>
        </w:rPr>
        <w:t>。</w:t>
      </w:r>
      <w:r>
        <w:rPr>
          <w:rFonts w:hint="eastAsia" w:ascii="仿宋_GB2312" w:hAnsi="仿宋_GB2312" w:eastAsia="仿宋_GB2312" w:cs="仿宋_GB2312"/>
          <w:kern w:val="0"/>
          <w:sz w:val="32"/>
          <w:szCs w:val="32"/>
          <w:highlight w:val="none"/>
          <w:lang w:val="en-US" w:eastAsia="zh-CN" w:bidi="ar"/>
        </w:rPr>
        <w:t>提升单位普法教育效果</w:t>
      </w:r>
      <w:r>
        <w:rPr>
          <w:rFonts w:hint="eastAsia" w:cs="仿宋_GB2312"/>
          <w:kern w:val="0"/>
          <w:sz w:val="32"/>
          <w:szCs w:val="32"/>
          <w:highlight w:val="none"/>
          <w:lang w:val="en-US" w:eastAsia="zh-CN" w:bidi="ar"/>
        </w:rPr>
        <w:t>、</w:t>
      </w:r>
      <w:r>
        <w:rPr>
          <w:rFonts w:hint="eastAsia" w:ascii="仿宋_GB2312" w:hAnsi="仿宋_GB2312" w:eastAsia="仿宋_GB2312" w:cs="仿宋_GB2312"/>
          <w:kern w:val="0"/>
          <w:sz w:val="32"/>
          <w:szCs w:val="32"/>
          <w:highlight w:val="none"/>
          <w:lang w:val="en-US" w:eastAsia="zh-CN" w:bidi="ar"/>
        </w:rPr>
        <w:t>制化建设水平。</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(一般公共预算财政拨款支出决算具体情况，按支出功能分类类级科目逐类分析)</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highlight w:val="none"/>
        </w:rPr>
      </w:pPr>
      <w:r>
        <w:rPr>
          <w:rFonts w:hint="eastAsia" w:ascii="楷体_GB2312" w:hAnsi="仿宋_GB2312" w:eastAsia="楷体_GB2312" w:cs="楷体_GB2312"/>
          <w:kern w:val="0"/>
          <w:sz w:val="32"/>
          <w:szCs w:val="32"/>
          <w:lang w:val="en-US" w:eastAsia="zh-CN" w:bidi="ar"/>
        </w:rPr>
        <w:t>1.一般公共服务支出(类)。</w:t>
      </w:r>
      <w:r>
        <w:rPr>
          <w:rFonts w:hint="eastAsia" w:ascii="仿宋_GB2312" w:hAnsi="仿宋_GB2312" w:eastAsia="仿宋_GB2312" w:cs="仿宋_GB2312"/>
          <w:kern w:val="0"/>
          <w:sz w:val="32"/>
          <w:szCs w:val="32"/>
          <w:lang w:val="en-US" w:eastAsia="zh-CN" w:bidi="ar"/>
        </w:rPr>
        <w:t>年初预算为593.08万元，支出决算为547.43万元，完成年初预算的92.30%，支出决算数小于年初预算数(凡是</w:t>
      </w:r>
      <w:r>
        <w:rPr>
          <w:rFonts w:hint="eastAsia" w:ascii="仿宋_GB2312" w:hAnsi="仿宋_GB2312" w:eastAsia="仿宋_GB2312" w:cs="仿宋_GB2312"/>
          <w:kern w:val="0"/>
          <w:sz w:val="32"/>
          <w:szCs w:val="32"/>
          <w:highlight w:val="none"/>
          <w:lang w:val="en-US" w:eastAsia="zh-CN" w:bidi="ar"/>
        </w:rPr>
        <w:t>年中有追加预算的或决算数低于年初预算数95%的应作说明)的主要原因是</w:t>
      </w:r>
      <w:r>
        <w:rPr>
          <w:rFonts w:hint="eastAsia" w:cs="仿宋_GB2312"/>
          <w:kern w:val="0"/>
          <w:sz w:val="32"/>
          <w:szCs w:val="32"/>
          <w:highlight w:val="none"/>
          <w:lang w:val="en-US" w:eastAsia="zh-CN" w:bidi="ar"/>
        </w:rPr>
        <w:t>人员退休，减少人员支出</w:t>
      </w:r>
      <w:r>
        <w:rPr>
          <w:rFonts w:hint="eastAsia" w:ascii="仿宋_GB2312" w:hAnsi="仿宋_GB2312" w:eastAsia="仿宋_GB2312" w:cs="仿宋_GB2312"/>
          <w:kern w:val="0"/>
          <w:sz w:val="32"/>
          <w:szCs w:val="32"/>
          <w:highlight w:val="none"/>
          <w:lang w:val="en-US" w:eastAsia="zh-CN" w:bidi="ar"/>
        </w:rPr>
        <w:t>。</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highlight w:val="none"/>
        </w:rPr>
      </w:pPr>
      <w:r>
        <w:rPr>
          <w:rFonts w:hint="eastAsia" w:ascii="楷体_GB2312" w:hAnsi="仿宋_GB2312" w:eastAsia="楷体_GB2312" w:cs="楷体_GB2312"/>
          <w:kern w:val="0"/>
          <w:sz w:val="32"/>
          <w:szCs w:val="32"/>
          <w:lang w:val="en-US" w:eastAsia="zh-CN" w:bidi="ar"/>
        </w:rPr>
        <w:t>2.社会保障和就业支出（类）。</w:t>
      </w:r>
      <w:r>
        <w:rPr>
          <w:rFonts w:hint="eastAsia" w:ascii="仿宋_GB2312" w:eastAsia="仿宋_GB2312" w:cs="仿宋_GB2312"/>
          <w:kern w:val="0"/>
          <w:sz w:val="32"/>
          <w:szCs w:val="32"/>
          <w:lang w:val="en-US" w:eastAsia="zh-CN" w:bidi="ar"/>
        </w:rPr>
        <w:t>年初预算为39.34万元，支出决算为35.57万元，完成年初预算的90.42%，支出决算数大(小)于年初预算数(凡是年中有追加预算的或决算数低于年初预算数95%的应作说明)</w:t>
      </w:r>
      <w:r>
        <w:rPr>
          <w:rFonts w:hint="eastAsia" w:ascii="仿宋_GB2312" w:eastAsia="仿宋_GB2312" w:cs="仿宋_GB2312"/>
          <w:kern w:val="0"/>
          <w:sz w:val="32"/>
          <w:szCs w:val="32"/>
          <w:highlight w:val="none"/>
          <w:lang w:val="en-US" w:eastAsia="zh-CN" w:bidi="ar"/>
        </w:rPr>
        <w:t>的</w:t>
      </w:r>
      <w:r>
        <w:rPr>
          <w:rFonts w:hint="eastAsia" w:ascii="仿宋_GB2312" w:hAnsi="仿宋_GB2312" w:eastAsia="仿宋_GB2312" w:cs="仿宋_GB2312"/>
          <w:kern w:val="0"/>
          <w:sz w:val="32"/>
          <w:szCs w:val="32"/>
          <w:highlight w:val="none"/>
          <w:lang w:val="en-US" w:eastAsia="zh-CN" w:bidi="ar"/>
        </w:rPr>
        <w:t>主要原因是</w:t>
      </w:r>
      <w:r>
        <w:rPr>
          <w:rFonts w:hint="eastAsia" w:cs="仿宋_GB2312"/>
          <w:kern w:val="0"/>
          <w:sz w:val="32"/>
          <w:szCs w:val="32"/>
          <w:highlight w:val="none"/>
          <w:lang w:val="en-US" w:eastAsia="zh-CN" w:bidi="ar"/>
        </w:rPr>
        <w:t>人员退休，减少人员支出</w:t>
      </w:r>
      <w:r>
        <w:rPr>
          <w:rFonts w:hint="eastAsia" w:ascii="仿宋_GB2312" w:hAnsi="仿宋_GB2312" w:eastAsia="仿宋_GB2312" w:cs="仿宋_GB2312"/>
          <w:kern w:val="0"/>
          <w:sz w:val="32"/>
          <w:szCs w:val="32"/>
          <w:highlight w:val="none"/>
          <w:lang w:val="en-US" w:eastAsia="zh-CN" w:bidi="ar"/>
        </w:rPr>
        <w:t>。</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highlight w:val="none"/>
        </w:rPr>
      </w:pPr>
      <w:r>
        <w:rPr>
          <w:rFonts w:hint="eastAsia" w:ascii="楷体_GB2312" w:eastAsia="楷体_GB2312" w:cs="楷体_GB2312"/>
          <w:kern w:val="0"/>
          <w:sz w:val="32"/>
          <w:szCs w:val="32"/>
          <w:highlight w:val="none"/>
          <w:lang w:val="en-US" w:eastAsia="zh-CN" w:bidi="ar"/>
        </w:rPr>
        <w:t>3</w:t>
      </w:r>
      <w:r>
        <w:rPr>
          <w:rFonts w:hint="eastAsia" w:ascii="楷体_GB2312" w:hAnsi="仿宋_GB2312" w:eastAsia="楷体_GB2312" w:cs="楷体_GB2312"/>
          <w:kern w:val="0"/>
          <w:sz w:val="32"/>
          <w:szCs w:val="32"/>
          <w:highlight w:val="none"/>
          <w:lang w:val="en-US" w:eastAsia="zh-CN" w:bidi="ar"/>
        </w:rPr>
        <w:t>.卫生健康支出（类）。</w:t>
      </w:r>
      <w:r>
        <w:rPr>
          <w:rFonts w:hint="eastAsia" w:ascii="仿宋_GB2312" w:eastAsia="仿宋_GB2312" w:cs="仿宋_GB2312"/>
          <w:kern w:val="0"/>
          <w:sz w:val="32"/>
          <w:szCs w:val="32"/>
          <w:highlight w:val="none"/>
          <w:lang w:val="en-US" w:eastAsia="zh-CN" w:bidi="ar"/>
        </w:rPr>
        <w:t>年初预算为16.24万元，支</w:t>
      </w:r>
      <w:r>
        <w:rPr>
          <w:rFonts w:hint="eastAsia" w:ascii="仿宋_GB2312" w:eastAsia="仿宋_GB2312" w:cs="仿宋_GB2312"/>
          <w:kern w:val="0"/>
          <w:sz w:val="32"/>
          <w:szCs w:val="32"/>
          <w:lang w:val="en-US" w:eastAsia="zh-CN" w:bidi="ar"/>
        </w:rPr>
        <w:t>出决算为11.69万元，完成年初预算的71.98%，支出决算数大(小)于年初预算数(凡是年</w:t>
      </w:r>
      <w:r>
        <w:rPr>
          <w:rFonts w:hint="eastAsia" w:ascii="仿宋_GB2312" w:eastAsia="仿宋_GB2312" w:cs="仿宋_GB2312"/>
          <w:kern w:val="0"/>
          <w:sz w:val="32"/>
          <w:szCs w:val="32"/>
          <w:highlight w:val="none"/>
          <w:lang w:val="en-US" w:eastAsia="zh-CN" w:bidi="ar"/>
        </w:rPr>
        <w:t>中有追加预算的或决算数低于年初预算数95%的应作说明)的</w:t>
      </w:r>
      <w:r>
        <w:rPr>
          <w:rFonts w:hint="eastAsia" w:ascii="仿宋_GB2312" w:hAnsi="仿宋_GB2312" w:eastAsia="仿宋_GB2312" w:cs="仿宋_GB2312"/>
          <w:kern w:val="0"/>
          <w:sz w:val="32"/>
          <w:szCs w:val="32"/>
          <w:highlight w:val="none"/>
          <w:lang w:val="en-US" w:eastAsia="zh-CN" w:bidi="ar"/>
        </w:rPr>
        <w:t>主要原因是</w:t>
      </w:r>
      <w:r>
        <w:rPr>
          <w:rFonts w:hint="eastAsia" w:cs="仿宋_GB2312"/>
          <w:kern w:val="0"/>
          <w:sz w:val="32"/>
          <w:szCs w:val="32"/>
          <w:highlight w:val="none"/>
          <w:lang w:val="en-US" w:eastAsia="zh-CN" w:bidi="ar"/>
        </w:rPr>
        <w:t>人员退休，减少人员支出</w:t>
      </w:r>
      <w:r>
        <w:rPr>
          <w:rFonts w:hint="eastAsia" w:ascii="仿宋_GB2312" w:hAnsi="仿宋_GB2312" w:eastAsia="仿宋_GB2312" w:cs="仿宋_GB2312"/>
          <w:kern w:val="0"/>
          <w:sz w:val="32"/>
          <w:szCs w:val="32"/>
          <w:highlight w:val="none"/>
          <w:lang w:val="en-US" w:eastAsia="zh-CN" w:bidi="ar"/>
        </w:rPr>
        <w:t>。</w:t>
      </w:r>
    </w:p>
    <w:p>
      <w:pPr>
        <w:pStyle w:val="10"/>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32"/>
          <w:szCs w:val="32"/>
        </w:rPr>
      </w:pPr>
      <w:r>
        <w:rPr>
          <w:rFonts w:hint="eastAsia" w:ascii="楷体_GB2312" w:eastAsia="楷体_GB2312" w:cs="楷体_GB2312"/>
          <w:kern w:val="0"/>
          <w:sz w:val="32"/>
          <w:szCs w:val="32"/>
          <w:lang w:val="en-US" w:eastAsia="zh-CN" w:bidi="ar"/>
        </w:rPr>
        <w:t>4</w:t>
      </w:r>
      <w:r>
        <w:rPr>
          <w:rFonts w:hint="eastAsia" w:ascii="楷体_GB2312" w:hAnsi="仿宋_GB2312" w:eastAsia="楷体_GB2312" w:cs="楷体_GB2312"/>
          <w:kern w:val="0"/>
          <w:sz w:val="32"/>
          <w:szCs w:val="32"/>
          <w:lang w:val="en-US" w:eastAsia="zh-CN" w:bidi="ar"/>
        </w:rPr>
        <w:t>.住房保障支出（类）。</w:t>
      </w:r>
      <w:r>
        <w:rPr>
          <w:rFonts w:hint="eastAsia" w:ascii="仿宋_GB2312" w:eastAsia="仿宋_GB2312" w:cs="仿宋_GB2312"/>
          <w:kern w:val="0"/>
          <w:sz w:val="32"/>
          <w:szCs w:val="32"/>
          <w:lang w:val="en-US" w:eastAsia="zh-CN" w:bidi="ar"/>
        </w:rPr>
        <w:t>年初预算为42.38万元，支出决算为42.38万元，完成年初预算的100.00%。</w:t>
      </w:r>
    </w:p>
    <w:p>
      <w:pPr>
        <w:pStyle w:val="10"/>
        <w:keepNext w:val="0"/>
        <w:keepLines w:val="0"/>
        <w:widowControl/>
        <w:suppressLineNumbers w:val="0"/>
        <w:snapToGrid w:val="0"/>
        <w:spacing w:before="0" w:beforeAutospacing="1" w:after="0" w:afterAutospacing="1" w:line="540" w:lineRule="atLeast"/>
        <w:ind w:left="0" w:right="0" w:firstLine="640"/>
        <w:jc w:val="both"/>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六、2019年度一般公共预算财政拨款基本支出决算情况说明</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2019度一般公共预算财政拨款基本支出415.06万元，其中，</w:t>
      </w:r>
      <w:r>
        <w:rPr>
          <w:rFonts w:hint="eastAsia" w:ascii="仿宋_GB2312" w:hAnsi="仿宋_GB2312" w:eastAsia="仿宋_GB2312" w:cs="仿宋_GB2312"/>
          <w:b/>
          <w:kern w:val="0"/>
          <w:sz w:val="32"/>
          <w:szCs w:val="32"/>
          <w:lang w:val="en-US" w:eastAsia="zh-CN" w:bidi="ar"/>
        </w:rPr>
        <w:t>人员经费375.98</w:t>
      </w:r>
      <w:r>
        <w:rPr>
          <w:rFonts w:hint="eastAsia" w:ascii="仿宋_GB2312" w:hAnsi="仿宋_GB2312" w:eastAsia="仿宋_GB2312" w:cs="仿宋_GB2312"/>
          <w:kern w:val="0"/>
          <w:sz w:val="32"/>
          <w:szCs w:val="32"/>
          <w:lang w:val="en-US" w:eastAsia="zh-CN" w:bidi="ar"/>
        </w:rPr>
        <w:t>万元，主要包括：基本工资、津贴补贴、奖金、伙食补助费、绩效工资、机关事业单位基本养老保险缴费、职业年金缴费、职工基本医疗保险缴费、公务员医疗补助缴费、其他社会保障缴费、住房公积金、医疗费、其他工资福利支出、离休费、退休费、退职(役)费、抚恤金、生活补助、救济费、医疗费补助、助学金、奖励金、其他对个人和家庭的补助；</w:t>
      </w:r>
      <w:r>
        <w:rPr>
          <w:rFonts w:hint="eastAsia" w:ascii="仿宋_GB2312" w:hAnsi="仿宋_GB2312" w:eastAsia="仿宋_GB2312" w:cs="仿宋_GB2312"/>
          <w:b/>
          <w:kern w:val="0"/>
          <w:sz w:val="32"/>
          <w:szCs w:val="32"/>
          <w:lang w:val="en-US" w:eastAsia="zh-CN" w:bidi="ar"/>
        </w:rPr>
        <w:t>公用经费39.09</w:t>
      </w:r>
      <w:r>
        <w:rPr>
          <w:rFonts w:hint="eastAsia" w:ascii="仿宋_GB2312" w:hAnsi="仿宋_GB2312" w:eastAsia="仿宋_GB2312" w:cs="仿宋_GB2312"/>
          <w:kern w:val="0"/>
          <w:sz w:val="32"/>
          <w:szCs w:val="32"/>
          <w:lang w:val="en-US" w:eastAsia="zh-CN" w:bidi="ar"/>
        </w:rPr>
        <w:t>万元，主要包括：办公费、印刷费、咨询费、手续费、水费、电费、邮电费、取暖费、物业管理费、差旅费、因公出国(境)费用、维修(护)费、租赁费、会议费、培训费、公务接待费、专用材料费、被装购置费、专用燃料费、劳务费、委托业务费、工会经费、福利费、公务用车运行维护费、其他交通费用、税金及附加费用、其他商品和服务支出、国内债务付息、办公设备购置、专用设备购置、信息网络及软件购置更新、公务用车购置、其他交通工具购置、文物和陈列品购置、无形资产购置、其他资本性支出、费用补贴、其他对企业补助、对民间非营利组织和群众性自治组织补贴。(只说明本部门主要使用科目)</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七、2019年度一般公共预算财政拨款“三公”经费支出决算情况说明</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楷体_GB2312" w:hAnsi="仿宋_GB2312" w:eastAsia="楷体_GB2312" w:cs="楷体_GB2312"/>
          <w:kern w:val="0"/>
          <w:sz w:val="32"/>
          <w:szCs w:val="32"/>
          <w:lang w:val="en-US" w:eastAsia="zh-CN" w:bidi="ar"/>
        </w:rPr>
        <w:t>(一)“三公”经费的单位范围。</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武汉市洪山区融媒体中心有一般公共预算财政拨款预算安排“三公”经费的单位包括武汉市洪山区融媒体中心本级及下属</w:t>
      </w:r>
      <w:r>
        <w:rPr>
          <w:rFonts w:hint="eastAsia" w:ascii="仿宋_GB2312" w:hAnsi="仿宋_GB2312" w:eastAsia="仿宋_GB2312" w:cs="仿宋_GB2312"/>
          <w:color w:val="000000"/>
          <w:kern w:val="0"/>
          <w:sz w:val="32"/>
          <w:szCs w:val="32"/>
          <w:u w:val="single"/>
          <w:lang w:val="en-US" w:eastAsia="zh-CN" w:bidi="ar"/>
        </w:rPr>
        <w:t xml:space="preserve"> 0 </w:t>
      </w:r>
      <w:r>
        <w:rPr>
          <w:rFonts w:hint="eastAsia" w:ascii="仿宋_GB2312" w:hAnsi="仿宋_GB2312" w:eastAsia="仿宋_GB2312" w:cs="仿宋_GB2312"/>
          <w:color w:val="000000"/>
          <w:kern w:val="0"/>
          <w:sz w:val="32"/>
          <w:szCs w:val="32"/>
          <w:lang w:val="en-US" w:eastAsia="zh-CN" w:bidi="ar"/>
        </w:rPr>
        <w:t>个行政单位、</w:t>
      </w:r>
      <w:r>
        <w:rPr>
          <w:rFonts w:hint="eastAsia" w:ascii="仿宋_GB2312" w:hAnsi="仿宋_GB2312" w:eastAsia="仿宋_GB2312" w:cs="仿宋_GB2312"/>
          <w:color w:val="000000"/>
          <w:kern w:val="0"/>
          <w:sz w:val="32"/>
          <w:szCs w:val="32"/>
          <w:u w:val="single"/>
          <w:lang w:val="en-US" w:eastAsia="zh-CN" w:bidi="ar"/>
        </w:rPr>
        <w:t xml:space="preserve"> </w:t>
      </w:r>
      <w:r>
        <w:rPr>
          <w:rFonts w:hint="eastAsia" w:cs="仿宋_GB2312"/>
          <w:color w:val="000000"/>
          <w:kern w:val="0"/>
          <w:sz w:val="32"/>
          <w:szCs w:val="32"/>
          <w:u w:val="single"/>
          <w:lang w:val="en-US" w:eastAsia="zh-CN" w:bidi="ar"/>
        </w:rPr>
        <w:t>0</w:t>
      </w:r>
      <w:r>
        <w:rPr>
          <w:rFonts w:hint="eastAsia" w:ascii="仿宋_GB2312" w:hAnsi="仿宋_GB2312" w:eastAsia="仿宋_GB2312" w:cs="仿宋_GB2312"/>
          <w:color w:val="000000"/>
          <w:kern w:val="0"/>
          <w:sz w:val="32"/>
          <w:szCs w:val="32"/>
          <w:lang w:val="en-US" w:eastAsia="zh-CN" w:bidi="ar"/>
        </w:rPr>
        <w:t>个参公事业单位、</w:t>
      </w:r>
      <w:r>
        <w:rPr>
          <w:rFonts w:hint="eastAsia" w:ascii="仿宋_GB2312" w:hAnsi="仿宋_GB2312" w:eastAsia="仿宋_GB2312" w:cs="仿宋_GB2312"/>
          <w:color w:val="000000"/>
          <w:kern w:val="0"/>
          <w:sz w:val="32"/>
          <w:szCs w:val="32"/>
          <w:u w:val="single"/>
          <w:lang w:val="en-US" w:eastAsia="zh-CN" w:bidi="ar"/>
        </w:rPr>
        <w:t xml:space="preserve"> </w:t>
      </w:r>
      <w:r>
        <w:rPr>
          <w:rFonts w:hint="eastAsia" w:cs="仿宋_GB2312"/>
          <w:color w:val="000000"/>
          <w:kern w:val="0"/>
          <w:sz w:val="32"/>
          <w:szCs w:val="32"/>
          <w:u w:val="single"/>
          <w:lang w:val="en-US" w:eastAsia="zh-CN" w:bidi="ar"/>
        </w:rPr>
        <w:t>1</w:t>
      </w:r>
      <w:r>
        <w:rPr>
          <w:rFonts w:hint="eastAsia" w:ascii="仿宋_GB2312" w:hAnsi="仿宋_GB2312" w:eastAsia="仿宋_GB2312" w:cs="仿宋_GB2312"/>
          <w:color w:val="000000"/>
          <w:kern w:val="0"/>
          <w:sz w:val="32"/>
          <w:szCs w:val="32"/>
          <w:lang w:val="en-US" w:eastAsia="zh-CN" w:bidi="ar"/>
        </w:rPr>
        <w:t>个全额拨款事业单位。</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楷体_GB2312" w:hAnsi="仿宋_GB2312" w:eastAsia="楷体_GB2312" w:cs="楷体_GB2312"/>
          <w:kern w:val="0"/>
          <w:sz w:val="32"/>
          <w:szCs w:val="32"/>
          <w:lang w:val="en-US" w:eastAsia="zh-CN" w:bidi="ar"/>
        </w:rPr>
        <w:t>(二)一般公共预算财政拨款“三公”经费支出决算情况。</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2019年度“三公”经费财政拨款年初预算数为4.40万元，支出决算为4.46万元，完成年初预算的101.36%，</w:t>
      </w:r>
      <w:r>
        <w:rPr>
          <w:rFonts w:hint="eastAsia" w:ascii="仿宋_GB2312" w:hAnsi="仿宋_GB2312" w:eastAsia="仿宋_GB2312" w:cs="仿宋_GB2312"/>
          <w:kern w:val="0"/>
          <w:sz w:val="32"/>
          <w:szCs w:val="32"/>
          <w:lang w:val="en-US" w:eastAsia="zh-CN" w:bidi="ar"/>
        </w:rPr>
        <w:t>其中：</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1.因公出国(境)费支出决算为0.00万元，完成年初预算的0%。</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2019年武汉市洪山区融媒体中心因公出国(境)团组</w:t>
      </w:r>
      <w:r>
        <w:rPr>
          <w:rFonts w:hint="eastAsia" w:ascii="仿宋_GB2312" w:hAnsi="仿宋_GB2312" w:eastAsia="仿宋_GB2312" w:cs="仿宋_GB2312"/>
          <w:color w:val="000000"/>
          <w:kern w:val="0"/>
          <w:sz w:val="32"/>
          <w:szCs w:val="32"/>
          <w:u w:val="single"/>
          <w:lang w:val="en-US" w:eastAsia="zh-CN" w:bidi="ar"/>
        </w:rPr>
        <w:t xml:space="preserve"> 0 </w:t>
      </w:r>
      <w:r>
        <w:rPr>
          <w:rFonts w:hint="eastAsia" w:ascii="仿宋_GB2312" w:hAnsi="仿宋_GB2312" w:eastAsia="仿宋_GB2312" w:cs="仿宋_GB2312"/>
          <w:color w:val="000000"/>
          <w:kern w:val="0"/>
          <w:sz w:val="32"/>
          <w:szCs w:val="32"/>
          <w:lang w:val="en-US" w:eastAsia="zh-CN" w:bidi="ar"/>
        </w:rPr>
        <w:t>个，</w:t>
      </w:r>
      <w:r>
        <w:rPr>
          <w:rFonts w:hint="eastAsia" w:ascii="仿宋_GB2312" w:hAnsi="仿宋_GB2312" w:eastAsia="仿宋_GB2312" w:cs="仿宋_GB2312"/>
          <w:color w:val="000000"/>
          <w:kern w:val="0"/>
          <w:sz w:val="32"/>
          <w:szCs w:val="32"/>
          <w:u w:val="single"/>
          <w:lang w:val="en-US" w:eastAsia="zh-CN" w:bidi="ar"/>
        </w:rPr>
        <w:t xml:space="preserve"> 0 </w:t>
      </w:r>
      <w:r>
        <w:rPr>
          <w:rFonts w:hint="eastAsia" w:ascii="仿宋_GB2312" w:hAnsi="仿宋_GB2312" w:eastAsia="仿宋_GB2312" w:cs="仿宋_GB2312"/>
          <w:color w:val="000000"/>
          <w:kern w:val="0"/>
          <w:sz w:val="32"/>
          <w:szCs w:val="32"/>
          <w:lang w:val="en-US" w:eastAsia="zh-CN" w:bidi="ar"/>
        </w:rPr>
        <w:t>人次，实际发生支出</w:t>
      </w:r>
      <w:r>
        <w:rPr>
          <w:rFonts w:hint="eastAsia" w:ascii="仿宋_GB2312" w:hAnsi="仿宋_GB2312" w:eastAsia="仿宋_GB2312" w:cs="仿宋_GB2312"/>
          <w:color w:val="000000"/>
          <w:kern w:val="0"/>
          <w:sz w:val="32"/>
          <w:szCs w:val="32"/>
          <w:u w:val="single"/>
          <w:lang w:val="en-US" w:eastAsia="zh-CN" w:bidi="ar"/>
        </w:rPr>
        <w:t xml:space="preserve"> 0  </w:t>
      </w:r>
      <w:r>
        <w:rPr>
          <w:rFonts w:hint="eastAsia" w:ascii="仿宋_GB2312" w:hAnsi="仿宋_GB2312" w:eastAsia="仿宋_GB2312" w:cs="仿宋_GB2312"/>
          <w:color w:val="000000"/>
          <w:kern w:val="0"/>
          <w:sz w:val="32"/>
          <w:szCs w:val="32"/>
          <w:lang w:val="en-US" w:eastAsia="zh-CN" w:bidi="ar"/>
        </w:rPr>
        <w:t>万元。其中：住宿费</w:t>
      </w:r>
      <w:r>
        <w:rPr>
          <w:rFonts w:hint="eastAsia" w:ascii="仿宋_GB2312" w:hAnsi="仿宋_GB2312" w:eastAsia="仿宋_GB2312" w:cs="仿宋_GB2312"/>
          <w:color w:val="000000"/>
          <w:kern w:val="0"/>
          <w:sz w:val="32"/>
          <w:szCs w:val="32"/>
          <w:u w:val="single"/>
          <w:lang w:val="en-US" w:eastAsia="zh-CN" w:bidi="ar"/>
        </w:rPr>
        <w:t xml:space="preserve">  0 </w:t>
      </w:r>
      <w:r>
        <w:rPr>
          <w:rFonts w:hint="eastAsia" w:ascii="仿宋_GB2312" w:hAnsi="仿宋_GB2312" w:eastAsia="仿宋_GB2312" w:cs="仿宋_GB2312"/>
          <w:color w:val="000000"/>
          <w:kern w:val="0"/>
          <w:sz w:val="32"/>
          <w:szCs w:val="32"/>
          <w:lang w:val="en-US" w:eastAsia="zh-CN" w:bidi="ar"/>
        </w:rPr>
        <w:t>万元、旅费</w:t>
      </w:r>
      <w:r>
        <w:rPr>
          <w:rFonts w:hint="eastAsia" w:ascii="仿宋_GB2312" w:hAnsi="仿宋_GB2312" w:eastAsia="仿宋_GB2312" w:cs="仿宋_GB2312"/>
          <w:color w:val="000000"/>
          <w:kern w:val="0"/>
          <w:sz w:val="32"/>
          <w:szCs w:val="32"/>
          <w:u w:val="single"/>
          <w:lang w:val="en-US" w:eastAsia="zh-CN" w:bidi="ar"/>
        </w:rPr>
        <w:t xml:space="preserve">  0 </w:t>
      </w:r>
      <w:r>
        <w:rPr>
          <w:rFonts w:hint="eastAsia" w:ascii="仿宋_GB2312" w:hAnsi="仿宋_GB2312" w:eastAsia="仿宋_GB2312" w:cs="仿宋_GB2312"/>
          <w:color w:val="000000"/>
          <w:kern w:val="0"/>
          <w:sz w:val="32"/>
          <w:szCs w:val="32"/>
          <w:lang w:val="en-US" w:eastAsia="zh-CN" w:bidi="ar"/>
        </w:rPr>
        <w:t>万元、伙食补助费</w:t>
      </w:r>
      <w:r>
        <w:rPr>
          <w:rFonts w:hint="eastAsia" w:ascii="仿宋_GB2312" w:hAnsi="仿宋_GB2312" w:eastAsia="仿宋_GB2312" w:cs="仿宋_GB2312"/>
          <w:color w:val="000000"/>
          <w:kern w:val="0"/>
          <w:sz w:val="32"/>
          <w:szCs w:val="32"/>
          <w:u w:val="single"/>
          <w:lang w:val="en-US" w:eastAsia="zh-CN" w:bidi="ar"/>
        </w:rPr>
        <w:t xml:space="preserve">  0 </w:t>
      </w:r>
      <w:r>
        <w:rPr>
          <w:rFonts w:hint="eastAsia" w:ascii="仿宋_GB2312" w:hAnsi="仿宋_GB2312" w:eastAsia="仿宋_GB2312" w:cs="仿宋_GB2312"/>
          <w:color w:val="000000"/>
          <w:kern w:val="0"/>
          <w:sz w:val="32"/>
          <w:szCs w:val="32"/>
          <w:lang w:val="en-US" w:eastAsia="zh-CN" w:bidi="ar"/>
        </w:rPr>
        <w:t>万元、培训费</w:t>
      </w:r>
      <w:r>
        <w:rPr>
          <w:rFonts w:hint="eastAsia" w:ascii="仿宋_GB2312" w:hAnsi="仿宋_GB2312" w:eastAsia="仿宋_GB2312" w:cs="仿宋_GB2312"/>
          <w:color w:val="000000"/>
          <w:kern w:val="0"/>
          <w:sz w:val="32"/>
          <w:szCs w:val="32"/>
          <w:u w:val="single"/>
          <w:lang w:val="en-US" w:eastAsia="zh-CN" w:bidi="ar"/>
        </w:rPr>
        <w:t xml:space="preserve">  0 </w:t>
      </w:r>
      <w:r>
        <w:rPr>
          <w:rFonts w:hint="eastAsia" w:ascii="仿宋_GB2312" w:hAnsi="仿宋_GB2312" w:eastAsia="仿宋_GB2312" w:cs="仿宋_GB2312"/>
          <w:color w:val="000000"/>
          <w:kern w:val="0"/>
          <w:sz w:val="32"/>
          <w:szCs w:val="32"/>
          <w:lang w:val="en-US" w:eastAsia="zh-CN" w:bidi="ar"/>
        </w:rPr>
        <w:t>万元、杂费</w:t>
      </w:r>
      <w:r>
        <w:rPr>
          <w:rFonts w:hint="eastAsia" w:ascii="仿宋_GB2312" w:hAnsi="仿宋_GB2312" w:eastAsia="仿宋_GB2312" w:cs="仿宋_GB2312"/>
          <w:color w:val="000000"/>
          <w:kern w:val="0"/>
          <w:sz w:val="32"/>
          <w:szCs w:val="32"/>
          <w:u w:val="single"/>
          <w:lang w:val="en-US" w:eastAsia="zh-CN" w:bidi="ar"/>
        </w:rPr>
        <w:t xml:space="preserve">  0 </w:t>
      </w:r>
      <w:r>
        <w:rPr>
          <w:rFonts w:hint="eastAsia" w:ascii="仿宋_GB2312" w:hAnsi="仿宋_GB2312" w:eastAsia="仿宋_GB2312" w:cs="仿宋_GB2312"/>
          <w:color w:val="000000"/>
          <w:kern w:val="0"/>
          <w:sz w:val="32"/>
          <w:szCs w:val="32"/>
          <w:lang w:val="en-US" w:eastAsia="zh-CN" w:bidi="ar"/>
        </w:rPr>
        <w:t>万元。</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2.公务用车购置及运行费支出决算为4.46万元，完成年初预算的101.36%；其中：</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(1)公务用车购置费0万元。本年度购置(更新)公务用车0辆，年末公务用车保有量1辆。</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(2)公务用车运行费4.46万元，完成年初预算的101.36%，比年初预算增加0.06万元，主要原因</w:t>
      </w:r>
      <w:r>
        <w:rPr>
          <w:rFonts w:hint="eastAsia" w:ascii="仿宋_GB2312" w:hAnsi="仿宋_GB2312" w:eastAsia="仿宋_GB2312" w:cs="仿宋_GB2312"/>
          <w:color w:val="000000"/>
          <w:kern w:val="0"/>
          <w:sz w:val="32"/>
          <w:szCs w:val="32"/>
          <w:highlight w:val="none"/>
          <w:lang w:val="en-US" w:eastAsia="zh-CN" w:bidi="ar"/>
        </w:rPr>
        <w:t>是</w:t>
      </w:r>
      <w:r>
        <w:rPr>
          <w:rFonts w:hint="eastAsia" w:cs="仿宋_GB2312"/>
          <w:b w:val="0"/>
          <w:bCs w:val="0"/>
          <w:color w:val="000000"/>
          <w:kern w:val="0"/>
          <w:sz w:val="32"/>
          <w:szCs w:val="32"/>
          <w:highlight w:val="none"/>
          <w:lang w:val="en-US" w:eastAsia="zh-CN" w:bidi="ar"/>
        </w:rPr>
        <w:t>2019年调剂过户给中心车改一辆轿车，车龄十多年老化严重，维修费高，新增新车全车保险费、过户费等开支</w:t>
      </w:r>
      <w:r>
        <w:rPr>
          <w:rFonts w:hint="eastAsia" w:ascii="仿宋_GB2312" w:hAnsi="仿宋_GB2312" w:eastAsia="仿宋_GB2312" w:cs="仿宋_GB2312"/>
          <w:b w:val="0"/>
          <w:bCs w:val="0"/>
          <w:color w:val="000000"/>
          <w:kern w:val="0"/>
          <w:sz w:val="32"/>
          <w:szCs w:val="32"/>
          <w:highlight w:val="none"/>
          <w:lang w:val="en-US" w:eastAsia="zh-CN" w:bidi="ar"/>
        </w:rPr>
        <w:t>。</w:t>
      </w:r>
      <w:r>
        <w:rPr>
          <w:rFonts w:hint="eastAsia" w:ascii="仿宋_GB2312" w:hAnsi="仿宋_GB2312" w:eastAsia="仿宋_GB2312" w:cs="仿宋_GB2312"/>
          <w:color w:val="000000"/>
          <w:kern w:val="0"/>
          <w:sz w:val="32"/>
          <w:szCs w:val="32"/>
          <w:highlight w:val="none"/>
          <w:lang w:val="en-US" w:eastAsia="zh-CN" w:bidi="ar"/>
        </w:rPr>
        <w:t>主要用</w:t>
      </w:r>
      <w:r>
        <w:rPr>
          <w:rFonts w:hint="eastAsia" w:ascii="仿宋_GB2312" w:hAnsi="仿宋_GB2312" w:eastAsia="仿宋_GB2312" w:cs="仿宋_GB2312"/>
          <w:color w:val="000000"/>
          <w:kern w:val="0"/>
          <w:sz w:val="32"/>
          <w:szCs w:val="32"/>
          <w:lang w:val="en-US" w:eastAsia="zh-CN" w:bidi="ar"/>
        </w:rPr>
        <w:t>于车辆年审费，其中：燃料费</w:t>
      </w:r>
      <w:r>
        <w:rPr>
          <w:rFonts w:hint="eastAsia" w:ascii="仿宋_GB2312" w:hAnsi="仿宋_GB2312" w:eastAsia="仿宋_GB2312" w:cs="仿宋_GB2312"/>
          <w:color w:val="000000"/>
          <w:kern w:val="0"/>
          <w:sz w:val="32"/>
          <w:szCs w:val="32"/>
          <w:u w:val="single"/>
          <w:lang w:val="en-US" w:eastAsia="zh-CN" w:bidi="ar"/>
        </w:rPr>
        <w:t xml:space="preserve">  0.69  </w:t>
      </w:r>
      <w:r>
        <w:rPr>
          <w:rFonts w:hint="eastAsia" w:ascii="仿宋_GB2312" w:hAnsi="仿宋_GB2312" w:eastAsia="仿宋_GB2312" w:cs="仿宋_GB2312"/>
          <w:color w:val="000000"/>
          <w:kern w:val="0"/>
          <w:sz w:val="32"/>
          <w:szCs w:val="32"/>
          <w:lang w:val="en-US" w:eastAsia="zh-CN" w:bidi="ar"/>
        </w:rPr>
        <w:t>万元；维修费</w:t>
      </w:r>
      <w:r>
        <w:rPr>
          <w:rFonts w:hint="eastAsia" w:ascii="仿宋_GB2312" w:hAnsi="仿宋_GB2312" w:eastAsia="仿宋_GB2312" w:cs="仿宋_GB2312"/>
          <w:color w:val="000000"/>
          <w:kern w:val="0"/>
          <w:sz w:val="32"/>
          <w:szCs w:val="32"/>
          <w:u w:val="single"/>
          <w:lang w:val="en-US" w:eastAsia="zh-CN" w:bidi="ar"/>
        </w:rPr>
        <w:t xml:space="preserve"> </w:t>
      </w:r>
      <w:r>
        <w:rPr>
          <w:rFonts w:hint="eastAsia" w:cs="仿宋_GB2312"/>
          <w:color w:val="000000"/>
          <w:kern w:val="0"/>
          <w:sz w:val="32"/>
          <w:szCs w:val="32"/>
          <w:u w:val="single"/>
          <w:lang w:val="en-US" w:eastAsia="zh-CN" w:bidi="ar"/>
        </w:rPr>
        <w:t>2.63</w:t>
      </w:r>
      <w:r>
        <w:rPr>
          <w:rFonts w:hint="eastAsia" w:ascii="仿宋_GB2312" w:hAnsi="仿宋_GB2312" w:eastAsia="仿宋_GB2312" w:cs="仿宋_GB2312"/>
          <w:color w:val="000000"/>
          <w:kern w:val="0"/>
          <w:sz w:val="32"/>
          <w:szCs w:val="32"/>
          <w:u w:val="single"/>
          <w:lang w:val="en-US" w:eastAsia="zh-CN" w:bidi="ar"/>
        </w:rPr>
        <w:t xml:space="preserve"> </w:t>
      </w:r>
      <w:r>
        <w:rPr>
          <w:rFonts w:hint="eastAsia" w:ascii="仿宋_GB2312" w:hAnsi="仿宋_GB2312" w:eastAsia="仿宋_GB2312" w:cs="仿宋_GB2312"/>
          <w:color w:val="000000"/>
          <w:kern w:val="0"/>
          <w:sz w:val="32"/>
          <w:szCs w:val="32"/>
          <w:lang w:val="en-US" w:eastAsia="zh-CN" w:bidi="ar"/>
        </w:rPr>
        <w:t>万元；过桥过路费</w:t>
      </w:r>
      <w:r>
        <w:rPr>
          <w:rFonts w:hint="eastAsia" w:ascii="仿宋_GB2312" w:hAnsi="仿宋_GB2312" w:eastAsia="仿宋_GB2312" w:cs="仿宋_GB2312"/>
          <w:color w:val="000000"/>
          <w:kern w:val="0"/>
          <w:sz w:val="32"/>
          <w:szCs w:val="32"/>
          <w:u w:val="single"/>
          <w:lang w:val="en-US" w:eastAsia="zh-CN" w:bidi="ar"/>
        </w:rPr>
        <w:t xml:space="preserve"> </w:t>
      </w:r>
      <w:r>
        <w:rPr>
          <w:rFonts w:hint="eastAsia" w:cs="仿宋_GB2312"/>
          <w:color w:val="000000"/>
          <w:kern w:val="0"/>
          <w:sz w:val="32"/>
          <w:szCs w:val="32"/>
          <w:u w:val="single"/>
          <w:lang w:val="en-US" w:eastAsia="zh-CN" w:bidi="ar"/>
        </w:rPr>
        <w:t>0</w:t>
      </w:r>
      <w:r>
        <w:rPr>
          <w:rFonts w:hint="eastAsia" w:ascii="仿宋_GB2312" w:hAnsi="仿宋_GB2312" w:eastAsia="仿宋_GB2312" w:cs="仿宋_GB2312"/>
          <w:color w:val="000000"/>
          <w:kern w:val="0"/>
          <w:sz w:val="32"/>
          <w:szCs w:val="32"/>
          <w:u w:val="single"/>
          <w:lang w:val="en-US" w:eastAsia="zh-CN" w:bidi="ar"/>
        </w:rPr>
        <w:t xml:space="preserve"> </w:t>
      </w:r>
      <w:r>
        <w:rPr>
          <w:rFonts w:hint="eastAsia" w:ascii="仿宋_GB2312" w:hAnsi="仿宋_GB2312" w:eastAsia="仿宋_GB2312" w:cs="仿宋_GB2312"/>
          <w:color w:val="000000"/>
          <w:kern w:val="0"/>
          <w:sz w:val="32"/>
          <w:szCs w:val="32"/>
          <w:lang w:val="en-US" w:eastAsia="zh-CN" w:bidi="ar"/>
        </w:rPr>
        <w:t>万元；保险费</w:t>
      </w:r>
      <w:r>
        <w:rPr>
          <w:rFonts w:hint="eastAsia" w:ascii="仿宋_GB2312" w:hAnsi="仿宋_GB2312" w:eastAsia="仿宋_GB2312" w:cs="仿宋_GB2312"/>
          <w:color w:val="000000"/>
          <w:kern w:val="0"/>
          <w:sz w:val="32"/>
          <w:szCs w:val="32"/>
          <w:u w:val="single"/>
          <w:lang w:val="en-US" w:eastAsia="zh-CN" w:bidi="ar"/>
        </w:rPr>
        <w:t xml:space="preserve"> </w:t>
      </w:r>
      <w:r>
        <w:rPr>
          <w:rFonts w:hint="eastAsia" w:cs="仿宋_GB2312"/>
          <w:color w:val="000000"/>
          <w:kern w:val="0"/>
          <w:sz w:val="32"/>
          <w:szCs w:val="32"/>
          <w:u w:val="single"/>
          <w:lang w:val="en-US" w:eastAsia="zh-CN" w:bidi="ar"/>
        </w:rPr>
        <w:t>1.08</w:t>
      </w:r>
      <w:r>
        <w:rPr>
          <w:rFonts w:hint="eastAsia" w:ascii="仿宋_GB2312" w:hAnsi="仿宋_GB2312" w:eastAsia="仿宋_GB2312" w:cs="仿宋_GB2312"/>
          <w:color w:val="000000"/>
          <w:kern w:val="0"/>
          <w:sz w:val="32"/>
          <w:szCs w:val="32"/>
          <w:u w:val="single"/>
          <w:lang w:val="en-US" w:eastAsia="zh-CN" w:bidi="ar"/>
        </w:rPr>
        <w:t xml:space="preserve"> </w:t>
      </w:r>
      <w:r>
        <w:rPr>
          <w:rFonts w:hint="eastAsia" w:ascii="仿宋_GB2312" w:hAnsi="仿宋_GB2312" w:eastAsia="仿宋_GB2312" w:cs="仿宋_GB2312"/>
          <w:color w:val="000000"/>
          <w:kern w:val="0"/>
          <w:sz w:val="32"/>
          <w:szCs w:val="32"/>
          <w:lang w:val="en-US" w:eastAsia="zh-CN" w:bidi="ar"/>
        </w:rPr>
        <w:t>万元。</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3.公务接待费支出决算为0.00万元。</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b w:val="0"/>
          <w:bCs w:val="0"/>
          <w:kern w:val="0"/>
          <w:sz w:val="24"/>
          <w:szCs w:val="24"/>
          <w:highlight w:val="none"/>
        </w:rPr>
      </w:pPr>
      <w:r>
        <w:rPr>
          <w:rFonts w:hint="eastAsia" w:ascii="仿宋_GB2312" w:hAnsi="仿宋_GB2312" w:eastAsia="仿宋_GB2312" w:cs="仿宋_GB2312"/>
          <w:color w:val="000000"/>
          <w:kern w:val="0"/>
          <w:sz w:val="32"/>
          <w:szCs w:val="32"/>
          <w:lang w:val="en-US" w:eastAsia="zh-CN" w:bidi="ar"/>
        </w:rPr>
        <w:t>2019年度“三公”经费财政拨款支出决算数比2018年增加</w:t>
      </w:r>
      <w:r>
        <w:rPr>
          <w:rFonts w:hint="eastAsia" w:ascii="宋体" w:hAnsi="宋体" w:eastAsia="宋体" w:cs="宋体"/>
          <w:kern w:val="0"/>
          <w:sz w:val="30"/>
          <w:szCs w:val="30"/>
          <w:lang w:val="en-US" w:eastAsia="zh-CN" w:bidi="ar"/>
        </w:rPr>
        <w:t>1.38</w:t>
      </w:r>
      <w:r>
        <w:rPr>
          <w:rFonts w:hint="eastAsia" w:ascii="仿宋_GB2312" w:hAnsi="仿宋_GB2312" w:eastAsia="仿宋_GB2312" w:cs="仿宋_GB2312"/>
          <w:color w:val="000000"/>
          <w:kern w:val="0"/>
          <w:sz w:val="32"/>
          <w:szCs w:val="32"/>
          <w:lang w:val="en-US" w:eastAsia="zh-CN" w:bidi="ar"/>
        </w:rPr>
        <w:t>万元，增长</w:t>
      </w:r>
      <w:r>
        <w:rPr>
          <w:rFonts w:hint="eastAsia" w:ascii="宋体" w:hAnsi="宋体" w:eastAsia="宋体" w:cs="宋体"/>
          <w:kern w:val="0"/>
          <w:sz w:val="30"/>
          <w:szCs w:val="30"/>
          <w:lang w:val="en-US" w:eastAsia="zh-CN" w:bidi="ar"/>
        </w:rPr>
        <w:t>45.00</w:t>
      </w:r>
      <w:r>
        <w:rPr>
          <w:rFonts w:hint="eastAsia" w:ascii="仿宋_GB2312" w:hAnsi="仿宋_GB2312" w:eastAsia="仿宋_GB2312" w:cs="仿宋_GB2312"/>
          <w:color w:val="000000"/>
          <w:kern w:val="0"/>
          <w:sz w:val="32"/>
          <w:szCs w:val="32"/>
          <w:lang w:val="en-US" w:eastAsia="zh-CN" w:bidi="ar"/>
        </w:rPr>
        <w:t>%，其中：因公务用车购置及运行费支出决算增加</w:t>
      </w:r>
      <w:r>
        <w:rPr>
          <w:rFonts w:hint="eastAsia" w:ascii="宋体" w:hAnsi="宋体" w:eastAsia="宋体" w:cs="宋体"/>
          <w:kern w:val="0"/>
          <w:sz w:val="30"/>
          <w:szCs w:val="30"/>
          <w:lang w:val="en-US" w:eastAsia="zh-CN" w:bidi="ar"/>
        </w:rPr>
        <w:t>1.38</w:t>
      </w:r>
      <w:r>
        <w:rPr>
          <w:rFonts w:hint="eastAsia" w:ascii="仿宋_GB2312" w:hAnsi="仿宋_GB2312" w:eastAsia="仿宋_GB2312" w:cs="仿宋_GB2312"/>
          <w:color w:val="000000"/>
          <w:kern w:val="0"/>
          <w:sz w:val="32"/>
          <w:szCs w:val="32"/>
          <w:lang w:val="en-US" w:eastAsia="zh-CN" w:bidi="ar"/>
        </w:rPr>
        <w:t>万元，增长</w:t>
      </w:r>
      <w:r>
        <w:rPr>
          <w:rFonts w:hint="eastAsia" w:ascii="宋体" w:hAnsi="宋体" w:eastAsia="宋体" w:cs="宋体"/>
          <w:kern w:val="0"/>
          <w:sz w:val="30"/>
          <w:szCs w:val="30"/>
          <w:lang w:val="en-US" w:eastAsia="zh-CN" w:bidi="ar"/>
        </w:rPr>
        <w:t>45.00</w:t>
      </w:r>
      <w:r>
        <w:rPr>
          <w:rFonts w:hint="eastAsia" w:ascii="仿宋_GB2312" w:hAnsi="仿宋_GB2312" w:eastAsia="仿宋_GB2312" w:cs="仿宋_GB2312"/>
          <w:color w:val="000000"/>
          <w:kern w:val="0"/>
          <w:sz w:val="32"/>
          <w:szCs w:val="32"/>
          <w:lang w:val="en-US" w:eastAsia="zh-CN" w:bidi="ar"/>
        </w:rPr>
        <w:t>%</w:t>
      </w:r>
      <w:r>
        <w:rPr>
          <w:rFonts w:hint="eastAsia" w:cs="仿宋_GB2312"/>
          <w:color w:val="000000"/>
          <w:kern w:val="0"/>
          <w:sz w:val="32"/>
          <w:szCs w:val="32"/>
          <w:highlight w:val="none"/>
          <w:lang w:val="en-US" w:eastAsia="zh-CN" w:bidi="ar"/>
        </w:rPr>
        <w:t>。</w:t>
      </w:r>
      <w:r>
        <w:rPr>
          <w:rFonts w:hint="eastAsia" w:cs="仿宋_GB2312"/>
          <w:b w:val="0"/>
          <w:bCs w:val="0"/>
          <w:color w:val="000000"/>
          <w:kern w:val="0"/>
          <w:sz w:val="32"/>
          <w:szCs w:val="32"/>
          <w:highlight w:val="none"/>
          <w:lang w:val="en-US" w:eastAsia="zh-CN" w:bidi="ar"/>
        </w:rPr>
        <w:t>2019年调剂过户给中心车改一辆轿车，车龄十多年老化严重，维修费高，新增新车全车保险费、过户费等开支</w:t>
      </w:r>
      <w:r>
        <w:rPr>
          <w:rFonts w:hint="eastAsia" w:ascii="仿宋_GB2312" w:hAnsi="仿宋_GB2312" w:eastAsia="仿宋_GB2312" w:cs="仿宋_GB2312"/>
          <w:b w:val="0"/>
          <w:bCs w:val="0"/>
          <w:color w:val="000000"/>
          <w:kern w:val="0"/>
          <w:sz w:val="32"/>
          <w:szCs w:val="32"/>
          <w:highlight w:val="none"/>
          <w:lang w:val="en-US" w:eastAsia="zh-CN" w:bidi="ar"/>
        </w:rPr>
        <w:t>。</w:t>
      </w:r>
    </w:p>
    <w:p>
      <w:pPr>
        <w:pStyle w:val="10"/>
        <w:keepNext w:val="0"/>
        <w:keepLines w:val="0"/>
        <w:widowControl/>
        <w:suppressLineNumbers w:val="0"/>
        <w:snapToGrid w:val="0"/>
        <w:spacing w:before="0" w:beforeAutospacing="1" w:after="0" w:afterAutospacing="1" w:line="540" w:lineRule="atLeast"/>
        <w:ind w:left="0" w:right="0" w:firstLine="640"/>
        <w:jc w:val="both"/>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八、2019年度政府性基金预算财政拨款收入支出决算情况</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本部门没有政府性基金预算财政拨款收入，也没有使用政府性基金预算财政拨款安排的支出</w:t>
      </w:r>
      <w:r>
        <w:rPr>
          <w:rFonts w:hint="eastAsia" w:cs="仿宋_GB2312"/>
          <w:kern w:val="0"/>
          <w:sz w:val="32"/>
          <w:szCs w:val="32"/>
          <w:lang w:val="en-US" w:eastAsia="zh-CN" w:bidi="ar"/>
        </w:rPr>
        <w:t>。</w:t>
      </w:r>
    </w:p>
    <w:p>
      <w:pPr>
        <w:pStyle w:val="10"/>
        <w:keepNext w:val="0"/>
        <w:keepLines w:val="0"/>
        <w:widowControl/>
        <w:suppressLineNumbers w:val="0"/>
        <w:snapToGrid w:val="0"/>
        <w:spacing w:before="0" w:beforeAutospacing="1" w:after="0" w:afterAutospacing="1" w:line="540" w:lineRule="atLeast"/>
        <w:ind w:left="0" w:right="0" w:firstLine="640"/>
        <w:jc w:val="both"/>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九、预算绩效情况说明</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(一)预算绩效管理工作开展情况。 </w:t>
      </w:r>
    </w:p>
    <w:p>
      <w:pPr>
        <w:keepNext w:val="0"/>
        <w:keepLines w:val="0"/>
        <w:widowControl/>
        <w:suppressLineNumbers w:val="0"/>
        <w:snapToGrid w:val="0"/>
        <w:spacing w:before="0" w:beforeAutospacing="1" w:after="0" w:afterAutospacing="1" w:line="540" w:lineRule="atLeast"/>
        <w:ind w:left="0" w:right="0" w:firstLine="630"/>
        <w:jc w:val="left"/>
        <w:rPr>
          <w:rFonts w:hint="eastAsia" w:ascii="仿宋_GB2312" w:eastAsia="仿宋_GB2312" w:cs="仿宋_GB2312"/>
          <w:kern w:val="0"/>
          <w:sz w:val="24"/>
          <w:szCs w:val="24"/>
          <w:highlight w:val="none"/>
        </w:rPr>
      </w:pPr>
      <w:r>
        <w:rPr>
          <w:rFonts w:hint="eastAsia" w:ascii="仿宋_GB2312" w:hAnsi="仿宋_GB2312" w:eastAsia="仿宋_GB2312" w:cs="仿宋_GB2312"/>
          <w:kern w:val="0"/>
          <w:sz w:val="32"/>
          <w:szCs w:val="32"/>
          <w:lang w:val="en-US" w:eastAsia="zh-CN" w:bidi="ar"/>
        </w:rPr>
        <w:t>根据预算绩效管理要求，我部门(单位)组织对2019年度一般公共预算项目支出全面开展绩效自评，</w:t>
      </w:r>
      <w:r>
        <w:rPr>
          <w:rFonts w:hint="eastAsia" w:ascii="仿宋_GB2312" w:hAnsi="仿宋_GB2312" w:eastAsia="仿宋_GB2312" w:cs="仿宋_GB2312"/>
          <w:kern w:val="0"/>
          <w:sz w:val="32"/>
          <w:szCs w:val="32"/>
          <w:highlight w:val="none"/>
          <w:lang w:val="en-US" w:eastAsia="zh-CN" w:bidi="ar"/>
        </w:rPr>
        <w:t>共涉及项目</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9</w:t>
      </w:r>
      <w:r>
        <w:rPr>
          <w:rFonts w:hint="eastAsia" w:ascii="仿宋_GB2312" w:hAnsi="仿宋_GB2312" w:eastAsia="仿宋_GB2312" w:cs="仿宋_GB2312"/>
          <w:kern w:val="0"/>
          <w:sz w:val="32"/>
          <w:szCs w:val="32"/>
          <w:highlight w:val="none"/>
          <w:lang w:val="en-US" w:eastAsia="zh-CN" w:bidi="ar"/>
        </w:rPr>
        <w:t>个，资金</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222</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万元。组织对</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1</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个部门开展整体支出绩效自评，资金</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222</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万元。从绩效评价情况来看，</w:t>
      </w:r>
      <w:r>
        <w:rPr>
          <w:rFonts w:hint="eastAsia" w:cs="仿宋_GB2312"/>
          <w:kern w:val="0"/>
          <w:sz w:val="32"/>
          <w:szCs w:val="32"/>
          <w:highlight w:val="none"/>
          <w:lang w:val="en-US" w:eastAsia="zh-CN" w:bidi="ar"/>
        </w:rPr>
        <w:t>主要完成以下目标：一是加强理论武装，强化政治意识；二是严格政治生活，激发组织活力；三是加强履职管理，全面提能增质；四是媒体融合发展成效显著；五是综合治理能力不断提升；六是管党治党责任全面落实；七是干部作风建设靶向发力。主要问题整改情况:一是大学之城编辑部仍然存在人员磨合、制度完善等问题；二是对新媒体技术、新型传播手段的综合运用能力还需提升（三）对新闻记者队伍岗位专业培训的针对性和实效性还有待增强。</w:t>
      </w:r>
    </w:p>
    <w:p>
      <w:pPr>
        <w:keepNext w:val="0"/>
        <w:keepLines w:val="0"/>
        <w:widowControl/>
        <w:suppressLineNumbers w:val="0"/>
        <w:snapToGrid w:val="0"/>
        <w:spacing w:before="0" w:beforeAutospacing="1" w:after="0" w:afterAutospacing="1" w:line="540" w:lineRule="atLeast"/>
        <w:ind w:left="0" w:right="0"/>
        <w:jc w:val="left"/>
        <w:rPr>
          <w:rFonts w:hint="eastAsia" w:ascii="仿宋_GB2312" w:eastAsia="仿宋_GB2312" w:cs="仿宋_GB2312"/>
          <w:kern w:val="0"/>
          <w:sz w:val="24"/>
          <w:szCs w:val="24"/>
          <w:highlight w:val="none"/>
        </w:rPr>
      </w:pPr>
      <w:r>
        <w:rPr>
          <w:rFonts w:hint="eastAsia" w:ascii="仿宋_GB2312" w:hAnsi="仿宋_GB2312" w:eastAsia="仿宋_GB2312" w:cs="仿宋_GB2312"/>
          <w:kern w:val="0"/>
          <w:sz w:val="32"/>
          <w:szCs w:val="32"/>
          <w:highlight w:val="none"/>
          <w:lang w:val="en-US" w:eastAsia="zh-CN" w:bidi="ar"/>
        </w:rPr>
        <w:t xml:space="preserve">    (二)绩效自评结果。</w:t>
      </w:r>
    </w:p>
    <w:p>
      <w:pPr>
        <w:keepNext w:val="0"/>
        <w:keepLines w:val="0"/>
        <w:widowControl/>
        <w:suppressLineNumbers w:val="0"/>
        <w:snapToGrid w:val="0"/>
        <w:spacing w:before="0" w:beforeAutospacing="1" w:after="0" w:afterAutospacing="1" w:line="540" w:lineRule="atLeast"/>
        <w:ind w:left="0" w:right="0"/>
        <w:jc w:val="left"/>
        <w:rPr>
          <w:rFonts w:hint="eastAsia" w:ascii="仿宋_GB2312" w:eastAsia="仿宋_GB2312" w:cs="仿宋_GB2312"/>
          <w:kern w:val="0"/>
          <w:sz w:val="24"/>
          <w:szCs w:val="24"/>
          <w:highlight w:val="none"/>
        </w:rPr>
      </w:pPr>
      <w:r>
        <w:rPr>
          <w:rFonts w:hint="eastAsia" w:ascii="仿宋_GB2312" w:hAnsi="仿宋_GB2312" w:eastAsia="仿宋_GB2312" w:cs="仿宋_GB2312"/>
          <w:kern w:val="0"/>
          <w:sz w:val="32"/>
          <w:szCs w:val="32"/>
          <w:highlight w:val="none"/>
          <w:lang w:val="en-US" w:eastAsia="zh-CN" w:bidi="ar"/>
        </w:rPr>
        <w:t xml:space="preserve">    我部门(单位)今年在市级部门决算中反映所有项目绩效自评结果(不包括涉密项目)。</w:t>
      </w:r>
    </w:p>
    <w:p>
      <w:pPr>
        <w:keepNext w:val="0"/>
        <w:keepLines w:val="0"/>
        <w:widowControl/>
        <w:numPr>
          <w:ilvl w:val="0"/>
          <w:numId w:val="2"/>
        </w:numPr>
        <w:suppressLineNumbers w:val="0"/>
        <w:snapToGrid w:val="0"/>
        <w:spacing w:before="0" w:beforeAutospacing="1" w:after="0" w:afterAutospacing="1" w:line="540" w:lineRule="atLeast"/>
        <w:ind w:left="640" w:leftChars="0" w:right="0" w:firstLine="0" w:firstLineChars="0"/>
        <w:jc w:val="left"/>
        <w:rPr>
          <w:rFonts w:hint="eastAsia" w:ascii="仿宋_GB2312" w:hAnsi="仿宋_GB2312" w:eastAsia="仿宋_GB2312" w:cs="仿宋_GB2312"/>
          <w:kern w:val="0"/>
          <w:sz w:val="32"/>
          <w:szCs w:val="32"/>
          <w:highlight w:val="none"/>
          <w:u w:val="none"/>
          <w:lang w:val="en-US" w:eastAsia="zh-CN" w:bidi="ar"/>
        </w:rPr>
      </w:pPr>
      <w:r>
        <w:rPr>
          <w:rFonts w:hint="eastAsia" w:ascii="仿宋_GB2312" w:hAnsi="仿宋_GB2312" w:eastAsia="仿宋_GB2312" w:cs="仿宋_GB2312"/>
          <w:kern w:val="0"/>
          <w:sz w:val="32"/>
          <w:szCs w:val="32"/>
          <w:highlight w:val="none"/>
          <w:u w:val="single"/>
          <w:lang w:val="en-US" w:eastAsia="zh-CN" w:bidi="ar"/>
        </w:rPr>
        <w:t xml:space="preserve">《洪山宣传》专用经费及网站维护 </w:t>
      </w:r>
      <w:r>
        <w:rPr>
          <w:rFonts w:hint="eastAsia" w:ascii="仿宋_GB2312" w:hAnsi="仿宋_GB2312" w:eastAsia="仿宋_GB2312" w:cs="仿宋_GB2312"/>
          <w:kern w:val="0"/>
          <w:sz w:val="32"/>
          <w:szCs w:val="32"/>
          <w:highlight w:val="none"/>
          <w:lang w:val="en-US" w:eastAsia="zh-CN" w:bidi="ar"/>
        </w:rPr>
        <w:t>项目绩效自评综述：项目全年预算数为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93.1</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万元，执行数为</w:t>
      </w:r>
      <w:r>
        <w:rPr>
          <w:rFonts w:hint="eastAsia" w:cs="仿宋_GB2312"/>
          <w:kern w:val="0"/>
          <w:sz w:val="32"/>
          <w:szCs w:val="32"/>
          <w:highlight w:val="none"/>
          <w:u w:val="single"/>
          <w:lang w:val="en-US" w:eastAsia="zh-CN" w:bidi="ar"/>
        </w:rPr>
        <w:t>93.1</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万元，完成预算的</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100</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%。主要产出和效果：认真贯彻落实十九大以来党的一系列治国理政新思想、新理念、新战略和习近平新时代中国特色社会主义思想</w:t>
      </w:r>
      <w:bookmarkStart w:id="0" w:name="_GoBack"/>
      <w:bookmarkEnd w:id="0"/>
      <w:r>
        <w:rPr>
          <w:rFonts w:hint="eastAsia" w:ascii="仿宋_GB2312" w:hAnsi="仿宋_GB2312" w:eastAsia="仿宋_GB2312" w:cs="仿宋_GB2312"/>
          <w:kern w:val="0"/>
          <w:sz w:val="32"/>
          <w:szCs w:val="32"/>
          <w:highlight w:val="none"/>
          <w:lang w:val="en-US" w:eastAsia="zh-CN" w:bidi="ar"/>
        </w:rPr>
        <w:t>，紧紧围绕区委、区政府中心工作，加强主题新闻宣传策划，强化新闻宣传报道</w:t>
      </w:r>
      <w:r>
        <w:rPr>
          <w:rFonts w:hint="eastAsia" w:cs="仿宋_GB2312"/>
          <w:kern w:val="0"/>
          <w:sz w:val="32"/>
          <w:szCs w:val="32"/>
          <w:highlight w:val="none"/>
          <w:lang w:val="en-US" w:eastAsia="zh-CN" w:bidi="ar"/>
        </w:rPr>
        <w:t>，通过发布《洪山宣传》、《大学之城》微信公众号、洪山政务微博、洪山政务网站、洪山电子阅报栏等自主宣传阵地</w:t>
      </w:r>
      <w:r>
        <w:rPr>
          <w:rFonts w:hint="eastAsia" w:ascii="仿宋_GB2312" w:hAnsi="仿宋_GB2312" w:eastAsia="仿宋_GB2312" w:cs="仿宋_GB2312"/>
          <w:kern w:val="0"/>
          <w:sz w:val="32"/>
          <w:szCs w:val="32"/>
          <w:highlight w:val="none"/>
          <w:lang w:val="en-US" w:eastAsia="zh-CN" w:bidi="ar"/>
        </w:rPr>
        <w:t>唱响主旋律，传播洪山好声音，为我区拼搏赶超，创新发展营造了良好的社会舆论环境</w:t>
      </w:r>
      <w:r>
        <w:rPr>
          <w:rFonts w:hint="eastAsia" w:cs="仿宋_GB2312"/>
          <w:kern w:val="0"/>
          <w:sz w:val="32"/>
          <w:szCs w:val="32"/>
          <w:highlight w:val="none"/>
          <w:lang w:val="en-US" w:eastAsia="zh-CN" w:bidi="ar"/>
        </w:rPr>
        <w:t>。</w:t>
      </w:r>
    </w:p>
    <w:p>
      <w:pPr>
        <w:keepNext w:val="0"/>
        <w:keepLines w:val="0"/>
        <w:widowControl/>
        <w:numPr>
          <w:ilvl w:val="0"/>
          <w:numId w:val="2"/>
        </w:numPr>
        <w:suppressLineNumbers w:val="0"/>
        <w:snapToGrid w:val="0"/>
        <w:spacing w:before="0" w:beforeAutospacing="1" w:after="0" w:afterAutospacing="1" w:line="540" w:lineRule="atLeast"/>
        <w:ind w:left="640" w:leftChars="0" w:right="0" w:firstLine="0" w:firstLineChars="0"/>
        <w:jc w:val="left"/>
        <w:rPr>
          <w:rFonts w:hint="eastAsia" w:ascii="仿宋_GB2312" w:hAnsi="仿宋_GB2312" w:eastAsia="仿宋_GB2312" w:cs="仿宋_GB2312"/>
          <w:kern w:val="0"/>
          <w:sz w:val="32"/>
          <w:szCs w:val="32"/>
          <w:highlight w:val="none"/>
          <w:lang w:val="en-US" w:eastAsia="zh-CN" w:bidi="ar"/>
        </w:rPr>
      </w:pPr>
      <w:r>
        <w:rPr>
          <w:rFonts w:hint="eastAsia" w:ascii="仿宋_GB2312" w:hAnsi="仿宋_GB2312" w:eastAsia="仿宋_GB2312" w:cs="仿宋_GB2312"/>
          <w:kern w:val="0"/>
          <w:sz w:val="32"/>
          <w:szCs w:val="32"/>
          <w:highlight w:val="none"/>
          <w:u w:val="single"/>
          <w:lang w:val="en-US" w:eastAsia="zh-CN" w:bidi="ar"/>
        </w:rPr>
        <w:t>融媒体设备购置</w:t>
      </w:r>
      <w:r>
        <w:rPr>
          <w:rFonts w:hint="eastAsia"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项目绩效自评综述：项目全年预算数为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40.22</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万元，执行数为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40.22</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万元，完成预算的</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100</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主要产出和效果：主要产出和效果：对新闻采编设备进行提档升级，进一步提升了新闻宣传专业技术水平。发现的问题及原因：新闻采集编辑设备更新换代较快，现有新闻设备无法完全满足媒体融合发展工作需要。下一步改进措施：结合融媒体中心建设，在节约设备采购成本的基础上，集中购置网络微直播等相关设备，进一步提升新闻宣传履职尽责能力。</w:t>
      </w:r>
    </w:p>
    <w:p>
      <w:pPr>
        <w:keepNext w:val="0"/>
        <w:keepLines w:val="0"/>
        <w:widowControl/>
        <w:numPr>
          <w:ilvl w:val="0"/>
          <w:numId w:val="2"/>
        </w:numPr>
        <w:suppressLineNumbers w:val="0"/>
        <w:snapToGrid w:val="0"/>
        <w:spacing w:before="0" w:beforeAutospacing="1" w:after="0" w:afterAutospacing="1" w:line="540" w:lineRule="atLeast"/>
        <w:ind w:left="640" w:leftChars="0" w:right="0" w:firstLine="0" w:firstLineChars="0"/>
        <w:jc w:val="left"/>
        <w:rPr>
          <w:rFonts w:hint="eastAsia" w:ascii="仿宋_GB2312" w:hAnsi="仿宋_GB2312" w:eastAsia="仿宋_GB2312" w:cs="仿宋_GB2312"/>
          <w:kern w:val="0"/>
          <w:sz w:val="32"/>
          <w:szCs w:val="32"/>
          <w:highlight w:val="none"/>
          <w:lang w:val="en-US" w:eastAsia="zh-CN" w:bidi="ar"/>
        </w:rPr>
      </w:pPr>
      <w:r>
        <w:rPr>
          <w:rFonts w:hint="eastAsia" w:ascii="仿宋_GB2312" w:hAnsi="仿宋_GB2312" w:eastAsia="仿宋_GB2312" w:cs="仿宋_GB2312"/>
          <w:kern w:val="0"/>
          <w:sz w:val="32"/>
          <w:szCs w:val="32"/>
          <w:highlight w:val="none"/>
          <w:u w:val="single"/>
          <w:lang w:val="en-US" w:eastAsia="zh-CN" w:bidi="ar"/>
        </w:rPr>
        <w:t xml:space="preserve">重大新闻策划及制作费 </w:t>
      </w:r>
      <w:r>
        <w:rPr>
          <w:rFonts w:hint="eastAsia" w:ascii="仿宋_GB2312" w:hAnsi="仿宋_GB2312" w:eastAsia="仿宋_GB2312" w:cs="仿宋_GB2312"/>
          <w:kern w:val="0"/>
          <w:sz w:val="32"/>
          <w:szCs w:val="32"/>
          <w:highlight w:val="none"/>
          <w:lang w:val="en-US" w:eastAsia="zh-CN" w:bidi="ar"/>
        </w:rPr>
        <w:t>项目绩效自评综述：项目全年预算数为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37</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万元，执行数为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37</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万元，完成预算的</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100</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主要产出和效果：一是区级融媒体中心建设稳步推进。按照区机构改革工作部署，完成区融媒体中心挂牌以及机构编制调整，先后与人民日报、新华社、湖北日报集团、长江日报集团、长江云等主流媒体进行对接，制定《洪山区融媒体中心建设实施方案》，稳步推进策、采、编、审、发一体化建设。新增区政务网新闻信息发布管理、区政务微博、抖音号运营管理和“洪山大学之城”APP建设等任务，同时，设计制作了“洪山融媒”电子阅报栏，在区政府大楼、街乡等11家单位进行了集中部署，延伸了宣传触角，提升了宣传效能。三是走进高校活动异彩纷呈。积极开展“踏青季”、“迎新季”、“我为大学之城代言”、“大学生抢票游武汉”等走进高校系列宣传活动，其中，“迎新季”移动直播活动全网播放量超过200万次，吸引了辖区高校师生的广泛关注。此外，配合区委宣传部举办的“大学之城智汇洪山”V影响力洪山行活动，微博话题累计阅读量近3000万次，被新浪微博评为2019湖北微博十大区域突破力案例。</w:t>
      </w:r>
    </w:p>
    <w:p>
      <w:pPr>
        <w:keepNext w:val="0"/>
        <w:keepLines w:val="0"/>
        <w:widowControl/>
        <w:numPr>
          <w:ilvl w:val="0"/>
          <w:numId w:val="2"/>
        </w:numPr>
        <w:suppressLineNumbers w:val="0"/>
        <w:snapToGrid w:val="0"/>
        <w:spacing w:before="0" w:beforeAutospacing="1" w:after="0" w:afterAutospacing="1" w:line="540" w:lineRule="atLeast"/>
        <w:ind w:left="640" w:leftChars="0" w:right="0" w:firstLine="0" w:firstLineChars="0"/>
        <w:jc w:val="left"/>
        <w:rPr>
          <w:rFonts w:hint="eastAsia" w:ascii="仿宋_GB2312" w:hAnsi="仿宋_GB2312" w:eastAsia="仿宋_GB2312" w:cs="仿宋_GB2312"/>
          <w:kern w:val="0"/>
          <w:sz w:val="32"/>
          <w:szCs w:val="32"/>
          <w:highlight w:val="none"/>
          <w:u w:val="none"/>
          <w:lang w:val="en-US" w:eastAsia="zh-CN" w:bidi="ar"/>
        </w:rPr>
      </w:pPr>
      <w:r>
        <w:rPr>
          <w:rFonts w:hint="eastAsia" w:ascii="仿宋_GB2312" w:hAnsi="仿宋_GB2312" w:eastAsia="仿宋_GB2312" w:cs="仿宋_GB2312"/>
          <w:kern w:val="0"/>
          <w:sz w:val="32"/>
          <w:szCs w:val="32"/>
          <w:highlight w:val="none"/>
          <w:u w:val="single"/>
          <w:lang w:val="en-US" w:eastAsia="zh-CN" w:bidi="ar"/>
        </w:rPr>
        <w:t xml:space="preserve">舆情监控  </w:t>
      </w:r>
      <w:r>
        <w:rPr>
          <w:rFonts w:hint="eastAsia" w:ascii="仿宋_GB2312" w:hAnsi="仿宋_GB2312" w:eastAsia="仿宋_GB2312" w:cs="仿宋_GB2312"/>
          <w:kern w:val="0"/>
          <w:sz w:val="32"/>
          <w:szCs w:val="32"/>
          <w:highlight w:val="none"/>
          <w:u w:val="none"/>
          <w:lang w:val="en-US" w:eastAsia="zh-CN" w:bidi="ar"/>
        </w:rPr>
        <w:t>项目绩效自评综述：项目全年预算数为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20</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u w:val="none"/>
          <w:lang w:val="en-US" w:eastAsia="zh-CN" w:bidi="ar"/>
        </w:rPr>
        <w:t>万元，执行数为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20</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u w:val="none"/>
          <w:lang w:val="en-US" w:eastAsia="zh-CN" w:bidi="ar"/>
        </w:rPr>
        <w:t>万元，完成预算的</w:t>
      </w:r>
      <w:r>
        <w:rPr>
          <w:rFonts w:hint="eastAsia" w:ascii="仿宋_GB2312" w:hAnsi="仿宋_GB2312" w:eastAsia="仿宋_GB2312" w:cs="仿宋_GB2312"/>
          <w:kern w:val="0"/>
          <w:sz w:val="32"/>
          <w:szCs w:val="32"/>
          <w:highlight w:val="none"/>
          <w:u w:val="single"/>
          <w:lang w:val="en-US" w:eastAsia="zh-CN" w:bidi="ar"/>
        </w:rPr>
        <w:t xml:space="preserve"> 100 </w:t>
      </w:r>
      <w:r>
        <w:rPr>
          <w:rFonts w:hint="eastAsia" w:ascii="仿宋_GB2312" w:hAnsi="仿宋_GB2312" w:eastAsia="仿宋_GB2312" w:cs="仿宋_GB2312"/>
          <w:kern w:val="0"/>
          <w:sz w:val="32"/>
          <w:szCs w:val="32"/>
          <w:highlight w:val="none"/>
          <w:u w:val="none"/>
          <w:lang w:val="en-US" w:eastAsia="zh-CN" w:bidi="ar"/>
        </w:rPr>
        <w:t>%。主要产出和效果：全年共监测、研判、处置涉及我区各类负面舆情信息2200余条，下达舆情处置单36份，发表网络正面跟评近1500条，为我区各项事业的发展营造了和谐稳定的舆论环境。发现的</w:t>
      </w:r>
      <w:r>
        <w:rPr>
          <w:rFonts w:hint="eastAsia" w:ascii="仿宋_GB2312" w:hAnsi="仿宋_GB2312" w:eastAsia="仿宋_GB2312" w:cs="仿宋_GB2312"/>
          <w:kern w:val="0"/>
          <w:sz w:val="32"/>
          <w:szCs w:val="32"/>
          <w:highlight w:val="none"/>
          <w:lang w:val="en-US" w:eastAsia="zh-CN" w:bidi="ar"/>
        </w:rPr>
        <w:t>问题及原因：对街乡舆情分析的系统性和针对性还需进一步增强。下一步改进措施：加强对各街乡、局委办网络网络舆情的分析研判，每月形成统计数据及分析报告，为街乡、局委办各项工作的开展提供舆情服务。</w:t>
      </w:r>
    </w:p>
    <w:p>
      <w:pPr>
        <w:keepNext w:val="0"/>
        <w:keepLines w:val="0"/>
        <w:widowControl/>
        <w:numPr>
          <w:ilvl w:val="0"/>
          <w:numId w:val="2"/>
        </w:numPr>
        <w:suppressLineNumbers w:val="0"/>
        <w:snapToGrid w:val="0"/>
        <w:spacing w:before="0" w:beforeAutospacing="1" w:after="0" w:afterAutospacing="1" w:line="540" w:lineRule="atLeast"/>
        <w:ind w:left="640" w:leftChars="0" w:right="0" w:firstLine="0" w:firstLineChars="0"/>
        <w:jc w:val="left"/>
        <w:rPr>
          <w:rFonts w:hint="eastAsia" w:ascii="仿宋_GB2312" w:hAnsi="仿宋_GB2312" w:eastAsia="仿宋_GB2312" w:cs="仿宋_GB2312"/>
          <w:kern w:val="0"/>
          <w:sz w:val="32"/>
          <w:szCs w:val="32"/>
          <w:highlight w:val="none"/>
          <w:u w:val="none"/>
          <w:lang w:val="en-US" w:eastAsia="zh-CN" w:bidi="ar"/>
        </w:rPr>
      </w:pPr>
      <w:r>
        <w:rPr>
          <w:rFonts w:hint="eastAsia" w:ascii="仿宋_GB2312" w:hAnsi="仿宋_GB2312" w:eastAsia="仿宋_GB2312" w:cs="仿宋_GB2312"/>
          <w:kern w:val="0"/>
          <w:sz w:val="32"/>
          <w:szCs w:val="32"/>
          <w:highlight w:val="none"/>
          <w:u w:val="single"/>
          <w:lang w:val="en-US" w:eastAsia="zh-CN" w:bidi="ar"/>
        </w:rPr>
        <w:t>新闻设备购置及设备维修</w:t>
      </w:r>
      <w:r>
        <w:rPr>
          <w:rFonts w:hint="eastAsia"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项目绩效自评综述：项目全年预算数为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15.18</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万元，执行数为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15.18</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万元，完成预算的</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100</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主要产出和效果：对新闻采编设备进行提档升级，进一步提升了新闻宣传专业技术水平。发现的问题及原因：新闻采集编辑设备更新换代较快，现有新闻设备无法完全满足媒体融合发展工作需要。下一步改进措施：结合融媒体中心建设，在节约设备采购成本的基础上，集中购置网络微直播等相关设备，进一步提升新闻宣传履职尽责能力。</w:t>
      </w:r>
    </w:p>
    <w:p>
      <w:pPr>
        <w:keepNext w:val="0"/>
        <w:keepLines w:val="0"/>
        <w:widowControl/>
        <w:numPr>
          <w:ilvl w:val="0"/>
          <w:numId w:val="2"/>
        </w:numPr>
        <w:suppressLineNumbers w:val="0"/>
        <w:snapToGrid w:val="0"/>
        <w:spacing w:before="0" w:beforeAutospacing="1" w:after="0" w:afterAutospacing="1" w:line="540" w:lineRule="atLeast"/>
        <w:ind w:left="640" w:leftChars="0" w:right="0" w:firstLine="0" w:firstLineChars="0"/>
        <w:jc w:val="left"/>
        <w:rPr>
          <w:rFonts w:hint="eastAsia" w:ascii="仿宋_GB2312" w:hAnsi="仿宋_GB2312" w:eastAsia="仿宋_GB2312" w:cs="仿宋_GB2312"/>
          <w:kern w:val="0"/>
          <w:sz w:val="32"/>
          <w:szCs w:val="32"/>
          <w:highlight w:val="none"/>
          <w:u w:val="none"/>
          <w:lang w:val="en-US" w:eastAsia="zh-CN" w:bidi="ar"/>
        </w:rPr>
      </w:pPr>
      <w:r>
        <w:rPr>
          <w:rFonts w:hint="eastAsia" w:ascii="仿宋_GB2312" w:hAnsi="仿宋_GB2312" w:eastAsia="仿宋_GB2312" w:cs="仿宋_GB2312"/>
          <w:kern w:val="0"/>
          <w:sz w:val="32"/>
          <w:szCs w:val="32"/>
          <w:highlight w:val="none"/>
          <w:u w:val="single"/>
          <w:lang w:val="en-US" w:eastAsia="zh-CN" w:bidi="ar"/>
        </w:rPr>
        <w:t>物业管理费</w:t>
      </w:r>
      <w:r>
        <w:rPr>
          <w:rFonts w:hint="eastAsia"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项目绩效自评综述：项目全年预算数为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9.6</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万元，执行数为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9.6</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万元，完成预算的</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100</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%。主要产出和效果：为中心各项工作的开展提供安全、和谐、卫生、有序的办公环境保障。发现的问题及原因：物业成本与服务不匹配。下一步改进措施：</w:t>
      </w:r>
      <w:r>
        <w:rPr>
          <w:rFonts w:hint="eastAsia" w:cs="仿宋_GB2312"/>
          <w:kern w:val="0"/>
          <w:sz w:val="32"/>
          <w:szCs w:val="32"/>
          <w:highlight w:val="none"/>
          <w:lang w:val="en-US" w:eastAsia="zh-CN" w:bidi="ar"/>
        </w:rPr>
        <w:t>与物业公司沟通协调</w:t>
      </w:r>
      <w:r>
        <w:rPr>
          <w:rFonts w:hint="eastAsia" w:ascii="仿宋_GB2312" w:hAnsi="仿宋_GB2312" w:eastAsia="仿宋_GB2312" w:cs="仿宋_GB2312"/>
          <w:kern w:val="0"/>
          <w:sz w:val="32"/>
          <w:szCs w:val="32"/>
          <w:highlight w:val="none"/>
          <w:lang w:val="en-US" w:eastAsia="zh-CN" w:bidi="ar"/>
        </w:rPr>
        <w:t>。</w:t>
      </w:r>
    </w:p>
    <w:p>
      <w:pPr>
        <w:keepNext w:val="0"/>
        <w:keepLines w:val="0"/>
        <w:widowControl/>
        <w:numPr>
          <w:ilvl w:val="0"/>
          <w:numId w:val="2"/>
        </w:numPr>
        <w:suppressLineNumbers w:val="0"/>
        <w:snapToGrid w:val="0"/>
        <w:spacing w:before="0" w:beforeAutospacing="1" w:after="0" w:afterAutospacing="1" w:line="540" w:lineRule="atLeast"/>
        <w:ind w:left="640" w:leftChars="0" w:right="0" w:firstLine="0" w:firstLineChars="0"/>
        <w:jc w:val="left"/>
        <w:rPr>
          <w:rFonts w:hint="eastAsia" w:ascii="仿宋_GB2312" w:hAnsi="仿宋_GB2312" w:eastAsia="仿宋_GB2312" w:cs="仿宋_GB2312"/>
          <w:kern w:val="0"/>
          <w:sz w:val="32"/>
          <w:szCs w:val="32"/>
          <w:highlight w:val="none"/>
          <w:u w:val="none"/>
          <w:lang w:val="en-US" w:eastAsia="zh-CN" w:bidi="ar"/>
        </w:rPr>
      </w:pPr>
      <w:r>
        <w:rPr>
          <w:rFonts w:hint="eastAsia" w:ascii="仿宋_GB2312" w:hAnsi="仿宋_GB2312" w:eastAsia="仿宋_GB2312" w:cs="仿宋_GB2312"/>
          <w:kern w:val="0"/>
          <w:sz w:val="32"/>
          <w:szCs w:val="32"/>
          <w:u w:val="single"/>
          <w:lang w:val="en-US" w:eastAsia="zh-CN" w:bidi="ar"/>
        </w:rPr>
        <w:t>党建（）纪检工作经费、文明创建工作经费</w:t>
      </w:r>
      <w:r>
        <w:rPr>
          <w:rFonts w:hint="eastAsia" w:cs="仿宋_GB2312"/>
          <w:kern w:val="0"/>
          <w:sz w:val="32"/>
          <w:szCs w:val="32"/>
          <w:u w:val="single"/>
          <w:lang w:val="en-US" w:eastAsia="zh-CN" w:bidi="ar"/>
        </w:rPr>
        <w:t xml:space="preserve"> </w:t>
      </w:r>
      <w:r>
        <w:rPr>
          <w:rFonts w:hint="eastAsia" w:ascii="仿宋_GB2312" w:hAnsi="仿宋_GB2312" w:eastAsia="仿宋_GB2312" w:cs="仿宋_GB2312"/>
          <w:kern w:val="0"/>
          <w:sz w:val="32"/>
          <w:szCs w:val="32"/>
          <w:lang w:val="en-US" w:eastAsia="zh-CN" w:bidi="ar"/>
        </w:rPr>
        <w:t>项目绩效自评综述：项目全年预算数为</w:t>
      </w:r>
      <w:r>
        <w:rPr>
          <w:rFonts w:hint="eastAsia" w:ascii="仿宋_GB2312" w:hAnsi="仿宋_GB2312" w:eastAsia="仿宋_GB2312" w:cs="仿宋_GB2312"/>
          <w:kern w:val="0"/>
          <w:sz w:val="32"/>
          <w:szCs w:val="32"/>
          <w:u w:val="single"/>
          <w:lang w:val="en-US" w:eastAsia="zh-CN" w:bidi="ar"/>
        </w:rPr>
        <w:t xml:space="preserve"> </w:t>
      </w:r>
      <w:r>
        <w:rPr>
          <w:rFonts w:hint="eastAsia" w:cs="仿宋_GB2312"/>
          <w:kern w:val="0"/>
          <w:sz w:val="32"/>
          <w:szCs w:val="32"/>
          <w:u w:val="single"/>
          <w:lang w:val="en-US" w:eastAsia="zh-CN" w:bidi="ar"/>
        </w:rPr>
        <w:t>4.37</w:t>
      </w:r>
      <w:r>
        <w:rPr>
          <w:rFonts w:hint="eastAsia" w:ascii="仿宋_GB2312" w:hAnsi="仿宋_GB2312" w:eastAsia="仿宋_GB2312" w:cs="仿宋_GB2312"/>
          <w:kern w:val="0"/>
          <w:sz w:val="32"/>
          <w:szCs w:val="32"/>
          <w:u w:val="single"/>
          <w:lang w:val="en-US" w:eastAsia="zh-CN" w:bidi="ar"/>
        </w:rPr>
        <w:t xml:space="preserve"> </w:t>
      </w:r>
      <w:r>
        <w:rPr>
          <w:rFonts w:hint="eastAsia" w:ascii="仿宋_GB2312" w:hAnsi="仿宋_GB2312" w:eastAsia="仿宋_GB2312" w:cs="仿宋_GB2312"/>
          <w:kern w:val="0"/>
          <w:sz w:val="32"/>
          <w:szCs w:val="32"/>
          <w:lang w:val="en-US" w:eastAsia="zh-CN" w:bidi="ar"/>
        </w:rPr>
        <w:t>万元，执行数为</w:t>
      </w:r>
      <w:r>
        <w:rPr>
          <w:rFonts w:hint="eastAsia" w:ascii="仿宋_GB2312" w:hAnsi="仿宋_GB2312" w:eastAsia="仿宋_GB2312" w:cs="仿宋_GB2312"/>
          <w:kern w:val="0"/>
          <w:sz w:val="32"/>
          <w:szCs w:val="32"/>
          <w:u w:val="single"/>
          <w:lang w:val="en-US" w:eastAsia="zh-CN" w:bidi="ar"/>
        </w:rPr>
        <w:t xml:space="preserve"> </w:t>
      </w:r>
      <w:r>
        <w:rPr>
          <w:rFonts w:hint="eastAsia" w:cs="仿宋_GB2312"/>
          <w:kern w:val="0"/>
          <w:sz w:val="32"/>
          <w:szCs w:val="32"/>
          <w:u w:val="single"/>
          <w:lang w:val="en-US" w:eastAsia="zh-CN" w:bidi="ar"/>
        </w:rPr>
        <w:t>4.37</w:t>
      </w:r>
      <w:r>
        <w:rPr>
          <w:rFonts w:hint="eastAsia" w:ascii="仿宋_GB2312" w:hAnsi="仿宋_GB2312" w:eastAsia="仿宋_GB2312" w:cs="仿宋_GB2312"/>
          <w:kern w:val="0"/>
          <w:sz w:val="32"/>
          <w:szCs w:val="32"/>
          <w:u w:val="single"/>
          <w:lang w:val="en-US" w:eastAsia="zh-CN" w:bidi="ar"/>
        </w:rPr>
        <w:t xml:space="preserve"> </w:t>
      </w:r>
      <w:r>
        <w:rPr>
          <w:rFonts w:hint="eastAsia" w:ascii="仿宋_GB2312" w:hAnsi="仿宋_GB2312" w:eastAsia="仿宋_GB2312" w:cs="仿宋_GB2312"/>
          <w:kern w:val="0"/>
          <w:sz w:val="32"/>
          <w:szCs w:val="32"/>
          <w:lang w:val="en-US" w:eastAsia="zh-CN" w:bidi="ar"/>
        </w:rPr>
        <w:t>万元，完成预算的</w:t>
      </w:r>
      <w:r>
        <w:rPr>
          <w:rFonts w:hint="eastAsia" w:ascii="仿宋_GB2312" w:hAnsi="仿宋_GB2312" w:eastAsia="仿宋_GB2312" w:cs="仿宋_GB2312"/>
          <w:kern w:val="0"/>
          <w:sz w:val="32"/>
          <w:szCs w:val="32"/>
          <w:u w:val="single"/>
          <w:lang w:val="en-US" w:eastAsia="zh-CN" w:bidi="ar"/>
        </w:rPr>
        <w:t xml:space="preserve"> </w:t>
      </w:r>
      <w:r>
        <w:rPr>
          <w:rFonts w:hint="eastAsia" w:cs="仿宋_GB2312"/>
          <w:kern w:val="0"/>
          <w:sz w:val="32"/>
          <w:szCs w:val="32"/>
          <w:u w:val="single"/>
          <w:lang w:val="en-US" w:eastAsia="zh-CN" w:bidi="ar"/>
        </w:rPr>
        <w:t>100</w:t>
      </w:r>
      <w:r>
        <w:rPr>
          <w:rFonts w:hint="eastAsia" w:ascii="仿宋_GB2312" w:hAnsi="仿宋_GB2312" w:eastAsia="仿宋_GB2312" w:cs="仿宋_GB2312"/>
          <w:kern w:val="0"/>
          <w:sz w:val="32"/>
          <w:szCs w:val="32"/>
          <w:u w:val="single"/>
          <w:lang w:val="en-US" w:eastAsia="zh-CN" w:bidi="ar"/>
        </w:rPr>
        <w:t xml:space="preserve"> </w:t>
      </w:r>
      <w:r>
        <w:rPr>
          <w:rFonts w:hint="eastAsia" w:ascii="仿宋_GB2312" w:hAnsi="仿宋_GB2312" w:eastAsia="仿宋_GB2312" w:cs="仿宋_GB2312"/>
          <w:kern w:val="0"/>
          <w:sz w:val="32"/>
          <w:szCs w:val="32"/>
          <w:lang w:val="en-US" w:eastAsia="zh-CN" w:bidi="ar"/>
        </w:rPr>
        <w:t>%。</w:t>
      </w:r>
      <w:r>
        <w:rPr>
          <w:rFonts w:hint="eastAsia" w:ascii="仿宋_GB2312" w:hAnsi="仿宋_GB2312" w:eastAsia="仿宋_GB2312" w:cs="仿宋_GB2312"/>
          <w:kern w:val="0"/>
          <w:sz w:val="32"/>
          <w:szCs w:val="32"/>
          <w:highlight w:val="none"/>
          <w:lang w:val="en-US" w:eastAsia="zh-CN" w:bidi="ar"/>
        </w:rPr>
        <w:t>主要产出和效果：断强化“两个责任”意识，扎实推进党风廉政建，全年组织开展廉政教育11次，领导班子成员开展廉政谈话20余次，调研督导3轮，营造了风清气正、廉洁高效的工作氛围。发现的问题及原因：对党员思想教育的分类指导、过程管理还需进一步加强。下一步改进措施：根据党员的工作岗位及个人特点，开展个性化的教育指导，依托“学习强国”App加强对党员日常自学的过程管理和学习效果检验评估，增强党员综合能力；按照市级文明单位创建标准，优化文明建设软、硬件环境，积极</w:t>
      </w:r>
      <w:r>
        <w:rPr>
          <w:rFonts w:hint="eastAsia" w:cs="仿宋_GB2312"/>
          <w:kern w:val="0"/>
          <w:sz w:val="32"/>
          <w:szCs w:val="32"/>
          <w:highlight w:val="none"/>
          <w:lang w:val="en-US" w:eastAsia="zh-CN" w:bidi="ar"/>
        </w:rPr>
        <w:t>参与创建</w:t>
      </w:r>
      <w:r>
        <w:rPr>
          <w:rFonts w:hint="eastAsia" w:ascii="仿宋_GB2312" w:hAnsi="仿宋_GB2312" w:eastAsia="仿宋_GB2312" w:cs="仿宋_GB2312"/>
          <w:kern w:val="0"/>
          <w:sz w:val="32"/>
          <w:szCs w:val="32"/>
          <w:highlight w:val="none"/>
          <w:lang w:val="en-US" w:eastAsia="zh-CN" w:bidi="ar"/>
        </w:rPr>
        <w:t>武汉市市级文明单位。</w:t>
      </w:r>
    </w:p>
    <w:p>
      <w:pPr>
        <w:keepNext w:val="0"/>
        <w:keepLines w:val="0"/>
        <w:widowControl/>
        <w:numPr>
          <w:ilvl w:val="0"/>
          <w:numId w:val="2"/>
        </w:numPr>
        <w:suppressLineNumbers w:val="0"/>
        <w:snapToGrid w:val="0"/>
        <w:spacing w:before="0" w:beforeAutospacing="1" w:after="0" w:afterAutospacing="1" w:line="540" w:lineRule="atLeast"/>
        <w:ind w:left="640" w:leftChars="0" w:right="0" w:firstLine="0" w:firstLineChars="0"/>
        <w:jc w:val="left"/>
        <w:rPr>
          <w:rFonts w:hint="eastAsia" w:ascii="仿宋_GB2312" w:hAnsi="仿宋_GB2312" w:eastAsia="仿宋_GB2312" w:cs="仿宋_GB2312"/>
          <w:kern w:val="0"/>
          <w:sz w:val="32"/>
          <w:szCs w:val="32"/>
          <w:highlight w:val="none"/>
          <w:lang w:val="en-US" w:eastAsia="zh-CN" w:bidi="ar"/>
        </w:rPr>
      </w:pPr>
      <w:r>
        <w:rPr>
          <w:rFonts w:hint="eastAsia" w:ascii="仿宋_GB2312" w:hAnsi="仿宋_GB2312" w:eastAsia="仿宋_GB2312" w:cs="仿宋_GB2312"/>
          <w:kern w:val="0"/>
          <w:sz w:val="32"/>
          <w:szCs w:val="32"/>
          <w:highlight w:val="none"/>
          <w:u w:val="single"/>
          <w:lang w:val="en-US" w:eastAsia="zh-CN" w:bidi="ar"/>
        </w:rPr>
        <w:t>购买服务</w:t>
      </w:r>
      <w:r>
        <w:rPr>
          <w:rFonts w:hint="eastAsia"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项目绩效自评综述：项目全年预算数为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2</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万元，执行数为</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2</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万元，完成预算的</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cs="仿宋_GB2312"/>
          <w:kern w:val="0"/>
          <w:sz w:val="32"/>
          <w:szCs w:val="32"/>
          <w:highlight w:val="none"/>
          <w:u w:val="single"/>
          <w:lang w:val="en-US" w:eastAsia="zh-CN" w:bidi="ar"/>
        </w:rPr>
        <w:t>100</w:t>
      </w:r>
      <w:r>
        <w:rPr>
          <w:rFonts w:hint="eastAsia" w:ascii="仿宋_GB2312" w:hAnsi="仿宋_GB2312" w:eastAsia="仿宋_GB2312" w:cs="仿宋_GB2312"/>
          <w:kern w:val="0"/>
          <w:sz w:val="32"/>
          <w:szCs w:val="32"/>
          <w:highlight w:val="none"/>
          <w:u w:val="single"/>
          <w:lang w:val="en-US" w:eastAsia="zh-CN" w:bidi="ar"/>
        </w:rPr>
        <w:t xml:space="preserve"> </w:t>
      </w:r>
      <w:r>
        <w:rPr>
          <w:rFonts w:hint="eastAsia" w:ascii="仿宋_GB2312" w:hAnsi="仿宋_GB2312" w:eastAsia="仿宋_GB2312" w:cs="仿宋_GB2312"/>
          <w:kern w:val="0"/>
          <w:sz w:val="32"/>
          <w:szCs w:val="32"/>
          <w:highlight w:val="none"/>
          <w:lang w:val="en-US" w:eastAsia="zh-CN" w:bidi="ar"/>
        </w:rPr>
        <w:t>%。主要产出和效果：对新闻采编设备进行提档升级，进一步提升了新闻宣传专业技术水平。发现的问题及原因：新闻采集编辑设备更新换代较快，现有新闻设备无法完全满足媒体融合发展工作需要。下一步改进措施：结合融媒体中心建设，在节约设备采购成本的基础上，集中购置网络微直播等相关设备，进一步提升新闻宣传履职尽责能力。</w:t>
      </w:r>
    </w:p>
    <w:p>
      <w:pPr>
        <w:keepNext w:val="0"/>
        <w:keepLines w:val="0"/>
        <w:widowControl/>
        <w:numPr>
          <w:ilvl w:val="0"/>
          <w:numId w:val="0"/>
        </w:numPr>
        <w:suppressLineNumbers w:val="0"/>
        <w:snapToGrid w:val="0"/>
        <w:spacing w:before="0" w:beforeAutospacing="1" w:after="0" w:afterAutospacing="1" w:line="540" w:lineRule="atLeast"/>
        <w:ind w:left="640" w:leftChars="0" w:right="0" w:rightChars="0"/>
        <w:jc w:val="left"/>
        <w:rPr>
          <w:rFonts w:hint="eastAsia" w:ascii="仿宋_GB2312" w:hAnsi="仿宋_GB2312" w:eastAsia="仿宋_GB2312" w:cs="仿宋_GB2312"/>
          <w:kern w:val="0"/>
          <w:sz w:val="32"/>
          <w:szCs w:val="32"/>
          <w:highlight w:val="none"/>
          <w:lang w:val="en-US" w:eastAsia="zh-CN" w:bidi="ar"/>
        </w:rPr>
      </w:pPr>
      <w:r>
        <w:rPr>
          <w:rFonts w:hint="eastAsia" w:cs="仿宋_GB2312"/>
          <w:kern w:val="0"/>
          <w:sz w:val="32"/>
          <w:szCs w:val="32"/>
          <w:u w:val="single"/>
          <w:lang w:val="en-US" w:eastAsia="zh-CN" w:bidi="ar"/>
        </w:rPr>
        <w:t>9.</w:t>
      </w:r>
      <w:r>
        <w:rPr>
          <w:rFonts w:hint="eastAsia" w:ascii="仿宋_GB2312" w:hAnsi="仿宋_GB2312" w:eastAsia="仿宋_GB2312" w:cs="仿宋_GB2312"/>
          <w:kern w:val="0"/>
          <w:sz w:val="32"/>
          <w:szCs w:val="32"/>
          <w:u w:val="single"/>
          <w:lang w:val="en-US" w:eastAsia="zh-CN" w:bidi="ar"/>
        </w:rPr>
        <w:t>“七五”普法</w:t>
      </w:r>
      <w:r>
        <w:rPr>
          <w:rFonts w:hint="eastAsia" w:cs="仿宋_GB2312"/>
          <w:kern w:val="0"/>
          <w:sz w:val="32"/>
          <w:szCs w:val="32"/>
          <w:u w:val="single"/>
          <w:lang w:val="en-US" w:eastAsia="zh-CN" w:bidi="ar"/>
        </w:rPr>
        <w:t xml:space="preserve"> </w:t>
      </w:r>
      <w:r>
        <w:rPr>
          <w:rFonts w:hint="eastAsia" w:ascii="仿宋_GB2312" w:hAnsi="仿宋_GB2312" w:eastAsia="仿宋_GB2312" w:cs="仿宋_GB2312"/>
          <w:kern w:val="0"/>
          <w:sz w:val="32"/>
          <w:szCs w:val="32"/>
          <w:lang w:val="en-US" w:eastAsia="zh-CN" w:bidi="ar"/>
        </w:rPr>
        <w:t>项目绩效自评综述：项目全年预算数为</w:t>
      </w:r>
      <w:r>
        <w:rPr>
          <w:rFonts w:hint="eastAsia" w:ascii="仿宋_GB2312" w:hAnsi="仿宋_GB2312" w:eastAsia="仿宋_GB2312" w:cs="仿宋_GB2312"/>
          <w:kern w:val="0"/>
          <w:sz w:val="32"/>
          <w:szCs w:val="32"/>
          <w:u w:val="single"/>
          <w:lang w:val="en-US" w:eastAsia="zh-CN" w:bidi="ar"/>
        </w:rPr>
        <w:t xml:space="preserve"> </w:t>
      </w:r>
      <w:r>
        <w:rPr>
          <w:rFonts w:hint="eastAsia" w:cs="仿宋_GB2312"/>
          <w:kern w:val="0"/>
          <w:sz w:val="32"/>
          <w:szCs w:val="32"/>
          <w:u w:val="single"/>
          <w:lang w:val="en-US" w:eastAsia="zh-CN" w:bidi="ar"/>
        </w:rPr>
        <w:t>0.53</w:t>
      </w:r>
      <w:r>
        <w:rPr>
          <w:rFonts w:hint="eastAsia" w:ascii="仿宋_GB2312" w:hAnsi="仿宋_GB2312" w:eastAsia="仿宋_GB2312" w:cs="仿宋_GB2312"/>
          <w:kern w:val="0"/>
          <w:sz w:val="32"/>
          <w:szCs w:val="32"/>
          <w:u w:val="single"/>
          <w:lang w:val="en-US" w:eastAsia="zh-CN" w:bidi="ar"/>
        </w:rPr>
        <w:t xml:space="preserve"> </w:t>
      </w:r>
      <w:r>
        <w:rPr>
          <w:rFonts w:hint="eastAsia" w:ascii="仿宋_GB2312" w:hAnsi="仿宋_GB2312" w:eastAsia="仿宋_GB2312" w:cs="仿宋_GB2312"/>
          <w:kern w:val="0"/>
          <w:sz w:val="32"/>
          <w:szCs w:val="32"/>
          <w:lang w:val="en-US" w:eastAsia="zh-CN" w:bidi="ar"/>
        </w:rPr>
        <w:t>万元，执行数为</w:t>
      </w:r>
      <w:r>
        <w:rPr>
          <w:rFonts w:hint="eastAsia" w:ascii="仿宋_GB2312" w:hAnsi="仿宋_GB2312" w:eastAsia="仿宋_GB2312" w:cs="仿宋_GB2312"/>
          <w:kern w:val="0"/>
          <w:sz w:val="32"/>
          <w:szCs w:val="32"/>
          <w:u w:val="single"/>
          <w:lang w:val="en-US" w:eastAsia="zh-CN" w:bidi="ar"/>
        </w:rPr>
        <w:t xml:space="preserve"> </w:t>
      </w:r>
      <w:r>
        <w:rPr>
          <w:rFonts w:hint="eastAsia" w:cs="仿宋_GB2312"/>
          <w:kern w:val="0"/>
          <w:sz w:val="32"/>
          <w:szCs w:val="32"/>
          <w:u w:val="single"/>
          <w:lang w:val="en-US" w:eastAsia="zh-CN" w:bidi="ar"/>
        </w:rPr>
        <w:t>0.53</w:t>
      </w:r>
      <w:r>
        <w:rPr>
          <w:rFonts w:hint="eastAsia" w:ascii="仿宋_GB2312" w:hAnsi="仿宋_GB2312" w:eastAsia="仿宋_GB2312" w:cs="仿宋_GB2312"/>
          <w:kern w:val="0"/>
          <w:sz w:val="32"/>
          <w:szCs w:val="32"/>
          <w:u w:val="single"/>
          <w:lang w:val="en-US" w:eastAsia="zh-CN" w:bidi="ar"/>
        </w:rPr>
        <w:t xml:space="preserve"> </w:t>
      </w:r>
      <w:r>
        <w:rPr>
          <w:rFonts w:hint="eastAsia" w:ascii="仿宋_GB2312" w:hAnsi="仿宋_GB2312" w:eastAsia="仿宋_GB2312" w:cs="仿宋_GB2312"/>
          <w:kern w:val="0"/>
          <w:sz w:val="32"/>
          <w:szCs w:val="32"/>
          <w:lang w:val="en-US" w:eastAsia="zh-CN" w:bidi="ar"/>
        </w:rPr>
        <w:t>万元，完成预算的</w:t>
      </w:r>
      <w:r>
        <w:rPr>
          <w:rFonts w:hint="eastAsia" w:ascii="仿宋_GB2312" w:hAnsi="仿宋_GB2312" w:eastAsia="仿宋_GB2312" w:cs="仿宋_GB2312"/>
          <w:kern w:val="0"/>
          <w:sz w:val="32"/>
          <w:szCs w:val="32"/>
          <w:u w:val="single"/>
          <w:lang w:val="en-US" w:eastAsia="zh-CN" w:bidi="ar"/>
        </w:rPr>
        <w:t xml:space="preserve"> </w:t>
      </w:r>
      <w:r>
        <w:rPr>
          <w:rFonts w:hint="eastAsia" w:cs="仿宋_GB2312"/>
          <w:kern w:val="0"/>
          <w:sz w:val="32"/>
          <w:szCs w:val="32"/>
          <w:u w:val="single"/>
          <w:lang w:val="en-US" w:eastAsia="zh-CN" w:bidi="ar"/>
        </w:rPr>
        <w:t>100</w:t>
      </w:r>
      <w:r>
        <w:rPr>
          <w:rFonts w:hint="eastAsia" w:ascii="仿宋_GB2312" w:hAnsi="仿宋_GB2312" w:eastAsia="仿宋_GB2312" w:cs="仿宋_GB2312"/>
          <w:kern w:val="0"/>
          <w:sz w:val="32"/>
          <w:szCs w:val="32"/>
          <w:u w:val="single"/>
          <w:lang w:val="en-US" w:eastAsia="zh-CN" w:bidi="ar"/>
        </w:rPr>
        <w:t xml:space="preserve"> </w:t>
      </w:r>
      <w:r>
        <w:rPr>
          <w:rFonts w:hint="eastAsia" w:ascii="仿宋_GB2312" w:hAnsi="仿宋_GB2312" w:eastAsia="仿宋_GB2312" w:cs="仿宋_GB2312"/>
          <w:kern w:val="0"/>
          <w:sz w:val="32"/>
          <w:szCs w:val="32"/>
          <w:lang w:val="en-US" w:eastAsia="zh-CN" w:bidi="ar"/>
        </w:rPr>
        <w:t>%。</w:t>
      </w:r>
      <w:r>
        <w:rPr>
          <w:rFonts w:hint="eastAsia" w:ascii="仿宋_GB2312" w:hAnsi="仿宋_GB2312" w:eastAsia="仿宋_GB2312" w:cs="仿宋_GB2312"/>
          <w:kern w:val="0"/>
          <w:sz w:val="32"/>
          <w:szCs w:val="32"/>
          <w:highlight w:val="none"/>
          <w:lang w:val="en-US" w:eastAsia="zh-CN" w:bidi="ar"/>
        </w:rPr>
        <w:t>主要产出和效果：法治观念进一步提高，充分学习法律，形成学法用法守法的良好气氛。发现的问题及原因：普法教育</w:t>
      </w:r>
      <w:r>
        <w:rPr>
          <w:rFonts w:hint="eastAsia" w:cs="仿宋_GB2312"/>
          <w:kern w:val="0"/>
          <w:sz w:val="32"/>
          <w:szCs w:val="32"/>
          <w:highlight w:val="none"/>
          <w:lang w:val="en-US" w:eastAsia="zh-CN" w:bidi="ar"/>
        </w:rPr>
        <w:t>更新不够及时</w:t>
      </w:r>
      <w:r>
        <w:rPr>
          <w:rFonts w:hint="eastAsia" w:ascii="仿宋_GB2312" w:hAnsi="仿宋_GB2312" w:eastAsia="仿宋_GB2312" w:cs="仿宋_GB2312"/>
          <w:kern w:val="0"/>
          <w:sz w:val="32"/>
          <w:szCs w:val="32"/>
          <w:highlight w:val="none"/>
          <w:lang w:val="en-US" w:eastAsia="zh-CN" w:bidi="ar"/>
        </w:rPr>
        <w:t>。下一步改进措施：</w:t>
      </w:r>
      <w:r>
        <w:rPr>
          <w:rFonts w:hint="eastAsia" w:cs="仿宋_GB2312"/>
          <w:kern w:val="0"/>
          <w:sz w:val="32"/>
          <w:szCs w:val="32"/>
          <w:highlight w:val="none"/>
          <w:lang w:val="en-US" w:eastAsia="zh-CN" w:bidi="ar"/>
        </w:rPr>
        <w:t>经常性开展相关普法教育活动，丰富职工法制知识</w:t>
      </w:r>
      <w:r>
        <w:rPr>
          <w:rFonts w:hint="eastAsia" w:ascii="仿宋_GB2312" w:hAnsi="仿宋_GB2312" w:eastAsia="仿宋_GB2312" w:cs="仿宋_GB2312"/>
          <w:kern w:val="0"/>
          <w:sz w:val="32"/>
          <w:szCs w:val="32"/>
          <w:highlight w:val="none"/>
          <w:lang w:val="en-US" w:eastAsia="zh-CN" w:bidi="ar"/>
        </w:rPr>
        <w:t>。</w:t>
      </w:r>
    </w:p>
    <w:p>
      <w:pPr>
        <w:keepNext w:val="0"/>
        <w:keepLines w:val="0"/>
        <w:widowControl/>
        <w:suppressLineNumbers w:val="0"/>
        <w:snapToGrid w:val="0"/>
        <w:spacing w:before="0" w:beforeAutospacing="1" w:after="0" w:afterAutospacing="1" w:line="540" w:lineRule="atLeast"/>
        <w:ind w:right="0" w:firstLine="640" w:firstLineChars="20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(项目支出绩效自评表见附件)</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十、</w:t>
      </w:r>
      <w:r>
        <w:rPr>
          <w:rFonts w:hint="eastAsia" w:ascii="黑体" w:hAnsi="宋体" w:eastAsia="黑体" w:cs="黑体"/>
          <w:color w:val="000000"/>
          <w:kern w:val="0"/>
          <w:sz w:val="32"/>
          <w:szCs w:val="32"/>
          <w:lang w:val="en-US" w:eastAsia="zh-CN" w:bidi="ar"/>
        </w:rPr>
        <w:t>其他重要事项情况</w:t>
      </w:r>
      <w:r>
        <w:rPr>
          <w:rFonts w:hint="eastAsia" w:ascii="黑体" w:hAnsi="宋体" w:eastAsia="黑体" w:cs="黑体"/>
          <w:kern w:val="0"/>
          <w:sz w:val="32"/>
          <w:szCs w:val="32"/>
          <w:lang w:val="en-US" w:eastAsia="zh-CN" w:bidi="ar"/>
        </w:rPr>
        <w:t>说明</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楷体_GB2312" w:hAnsi="仿宋_GB2312" w:eastAsia="楷体_GB2312" w:cs="楷体_GB2312"/>
          <w:kern w:val="0"/>
          <w:sz w:val="32"/>
          <w:szCs w:val="32"/>
          <w:lang w:val="en-US" w:eastAsia="zh-CN" w:bidi="ar"/>
        </w:rPr>
        <w:t>(一)机关运行经费支出情况。</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2019年度武汉市洪山区融媒体中心(含参照公务员法管理的事业单位)机关运行经费支出0.00万元，比2018年增加</w:t>
      </w:r>
      <w:r>
        <w:rPr>
          <w:rFonts w:hint="eastAsia" w:ascii="仿宋_GB2312" w:hAnsi="仿宋_GB2312" w:eastAsia="仿宋_GB2312" w:cs="仿宋_GB2312"/>
          <w:kern w:val="0"/>
          <w:sz w:val="24"/>
          <w:szCs w:val="24"/>
          <w:u w:val="single"/>
          <w:lang w:val="en-US" w:eastAsia="zh-CN" w:bidi="ar"/>
        </w:rPr>
        <w:t xml:space="preserve">  </w:t>
      </w:r>
      <w:r>
        <w:rPr>
          <w:rFonts w:hint="eastAsia" w:cs="仿宋_GB2312"/>
          <w:kern w:val="0"/>
          <w:sz w:val="32"/>
          <w:szCs w:val="32"/>
          <w:u w:val="single"/>
          <w:lang w:val="en-US" w:eastAsia="zh-CN" w:bidi="ar"/>
        </w:rPr>
        <w:t>0</w:t>
      </w:r>
      <w:r>
        <w:rPr>
          <w:rFonts w:hint="eastAsia" w:ascii="仿宋_GB2312" w:hAnsi="仿宋_GB2312" w:eastAsia="仿宋_GB2312" w:cs="仿宋_GB2312"/>
          <w:kern w:val="0"/>
          <w:sz w:val="32"/>
          <w:szCs w:val="32"/>
          <w:u w:val="single"/>
          <w:lang w:val="en-US" w:eastAsia="zh-CN" w:bidi="ar"/>
        </w:rPr>
        <w:t xml:space="preserve"> </w:t>
      </w:r>
      <w:r>
        <w:rPr>
          <w:rFonts w:hint="eastAsia" w:ascii="仿宋_GB2312" w:hAnsi="仿宋_GB2312" w:eastAsia="仿宋_GB2312" w:cs="仿宋_GB2312"/>
          <w:kern w:val="0"/>
          <w:sz w:val="24"/>
          <w:szCs w:val="24"/>
          <w:u w:val="single"/>
          <w:lang w:val="en-US" w:eastAsia="zh-CN" w:bidi="ar"/>
        </w:rPr>
        <w:t xml:space="preserve">  </w:t>
      </w:r>
      <w:r>
        <w:rPr>
          <w:rFonts w:hint="eastAsia" w:ascii="仿宋_GB2312" w:hAnsi="仿宋_GB2312" w:eastAsia="仿宋_GB2312" w:cs="仿宋_GB2312"/>
          <w:kern w:val="0"/>
          <w:sz w:val="32"/>
          <w:szCs w:val="32"/>
          <w:lang w:val="en-US" w:eastAsia="zh-CN" w:bidi="ar"/>
        </w:rPr>
        <w:t>万元，增长</w:t>
      </w:r>
      <w:r>
        <w:rPr>
          <w:rFonts w:hint="eastAsia" w:ascii="仿宋_GB2312" w:hAnsi="仿宋_GB2312" w:eastAsia="仿宋_GB2312" w:cs="仿宋_GB2312"/>
          <w:kern w:val="0"/>
          <w:sz w:val="32"/>
          <w:szCs w:val="32"/>
          <w:u w:val="single"/>
          <w:lang w:val="en-US" w:eastAsia="zh-CN" w:bidi="ar"/>
        </w:rPr>
        <w:t xml:space="preserve">  </w:t>
      </w:r>
      <w:r>
        <w:rPr>
          <w:rFonts w:hint="eastAsia" w:cs="仿宋_GB2312"/>
          <w:kern w:val="0"/>
          <w:sz w:val="32"/>
          <w:szCs w:val="32"/>
          <w:u w:val="single"/>
          <w:lang w:val="en-US" w:eastAsia="zh-CN" w:bidi="ar"/>
        </w:rPr>
        <w:t>0</w:t>
      </w:r>
      <w:r>
        <w:rPr>
          <w:rFonts w:hint="eastAsia" w:ascii="仿宋_GB2312" w:hAnsi="仿宋_GB2312" w:eastAsia="仿宋_GB2312" w:cs="仿宋_GB2312"/>
          <w:kern w:val="0"/>
          <w:sz w:val="32"/>
          <w:szCs w:val="32"/>
          <w:u w:val="single"/>
          <w:lang w:val="en-US" w:eastAsia="zh-CN" w:bidi="ar"/>
        </w:rPr>
        <w:t xml:space="preserve">  </w:t>
      </w:r>
      <w:r>
        <w:rPr>
          <w:rFonts w:hint="eastAsia" w:ascii="仿宋_GB2312" w:hAnsi="仿宋_GB2312" w:eastAsia="仿宋_GB2312" w:cs="仿宋_GB2312"/>
          <w:kern w:val="0"/>
          <w:sz w:val="32"/>
          <w:szCs w:val="32"/>
          <w:lang w:val="en-US" w:eastAsia="zh-CN" w:bidi="ar"/>
        </w:rPr>
        <w:t>%。</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楷体_GB2312" w:hAnsi="仿宋_GB2312" w:eastAsia="楷体_GB2312" w:cs="楷体_GB2312"/>
          <w:kern w:val="0"/>
          <w:sz w:val="32"/>
          <w:szCs w:val="32"/>
          <w:lang w:val="en-US" w:eastAsia="zh-CN" w:bidi="ar"/>
        </w:rPr>
        <w:t>(二)政府采购支出情况。</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2019年度武汉市洪山区融媒体中心政府采购支出总额13.36万元，其中：政府采购货物支出2.57万元、政府采购工程支出0.00万元、政府采购服务支出10.79万元。授予中小企业合同金额13.36万元，占政府采购支出总额的100.00%，其中：授予小微企业合同金额13.36万元，占政府采购支出总额的100.00%。</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eastAsia="仿宋_GB2312" w:cs="仿宋_GB2312"/>
          <w:kern w:val="0"/>
          <w:sz w:val="24"/>
          <w:szCs w:val="24"/>
        </w:rPr>
      </w:pPr>
      <w:r>
        <w:rPr>
          <w:rFonts w:hint="eastAsia" w:ascii="楷体_GB2312" w:hAnsi="仿宋_GB2312" w:eastAsia="楷体_GB2312" w:cs="楷体_GB2312"/>
          <w:kern w:val="0"/>
          <w:sz w:val="32"/>
          <w:szCs w:val="32"/>
          <w:lang w:val="en-US" w:eastAsia="zh-CN" w:bidi="ar"/>
        </w:rPr>
        <w:t>(三)国有资产占用情况。</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截至2019年12月31日，武汉市洪山区融媒体中心共有车辆1辆，其中，副部(省)级及以上领导用车0辆，主要领导干部用车0辆，机要通信用车0辆，应急保障用车0辆、执法执勤用车0辆、特种专业技术用车0辆、离退休干部用车0辆、其他用车1辆</w:t>
      </w:r>
      <w:r>
        <w:rPr>
          <w:rFonts w:hint="eastAsia" w:ascii="仿宋_GB2312" w:hAnsi="仿宋_GB2312" w:eastAsia="仿宋_GB2312" w:cs="仿宋_GB2312"/>
          <w:kern w:val="0"/>
          <w:sz w:val="32"/>
          <w:szCs w:val="32"/>
          <w:highlight w:val="none"/>
          <w:lang w:val="en-US" w:eastAsia="zh-CN" w:bidi="ar"/>
        </w:rPr>
        <w:t>，其他用车主要是</w:t>
      </w:r>
      <w:r>
        <w:rPr>
          <w:rFonts w:hint="eastAsia" w:cs="仿宋_GB2312"/>
          <w:kern w:val="0"/>
          <w:sz w:val="32"/>
          <w:szCs w:val="32"/>
          <w:highlight w:val="none"/>
          <w:lang w:val="en-US" w:eastAsia="zh-CN" w:bidi="ar"/>
        </w:rPr>
        <w:t>新闻</w:t>
      </w:r>
      <w:r>
        <w:rPr>
          <w:rFonts w:hint="eastAsia" w:ascii="仿宋_GB2312" w:hAnsi="仿宋_GB2312" w:eastAsia="仿宋_GB2312" w:cs="仿宋_GB2312"/>
          <w:kern w:val="0"/>
          <w:sz w:val="32"/>
          <w:szCs w:val="32"/>
          <w:highlight w:val="none"/>
          <w:lang w:val="en-US" w:eastAsia="zh-CN" w:bidi="ar"/>
        </w:rPr>
        <w:t>采访</w:t>
      </w:r>
      <w:r>
        <w:rPr>
          <w:rFonts w:hint="eastAsia" w:cs="仿宋_GB2312"/>
          <w:kern w:val="0"/>
          <w:sz w:val="32"/>
          <w:szCs w:val="32"/>
          <w:highlight w:val="none"/>
          <w:lang w:val="en-US" w:eastAsia="zh-CN" w:bidi="ar"/>
        </w:rPr>
        <w:t>和</w:t>
      </w:r>
      <w:r>
        <w:rPr>
          <w:rFonts w:hint="eastAsia" w:ascii="仿宋_GB2312" w:hAnsi="仿宋_GB2312" w:eastAsia="仿宋_GB2312" w:cs="仿宋_GB2312"/>
          <w:kern w:val="0"/>
          <w:sz w:val="32"/>
          <w:szCs w:val="32"/>
          <w:highlight w:val="none"/>
          <w:lang w:val="en-US" w:eastAsia="zh-CN" w:bidi="ar"/>
        </w:rPr>
        <w:t>工作</w:t>
      </w:r>
      <w:r>
        <w:rPr>
          <w:rFonts w:hint="eastAsia" w:cs="仿宋_GB2312"/>
          <w:kern w:val="0"/>
          <w:sz w:val="32"/>
          <w:szCs w:val="32"/>
          <w:highlight w:val="none"/>
          <w:lang w:val="en-US" w:eastAsia="zh-CN" w:bidi="ar"/>
        </w:rPr>
        <w:t>用车</w:t>
      </w:r>
      <w:r>
        <w:rPr>
          <w:rFonts w:hint="eastAsia" w:ascii="仿宋_GB2312" w:hAnsi="仿宋_GB2312" w:eastAsia="仿宋_GB2312" w:cs="仿宋_GB2312"/>
          <w:kern w:val="0"/>
          <w:sz w:val="32"/>
          <w:szCs w:val="32"/>
          <w:highlight w:val="none"/>
          <w:lang w:val="en-US" w:eastAsia="zh-CN" w:bidi="ar"/>
        </w:rPr>
        <w:t>；单价50 万元(含)以上通用设备 0台(</w:t>
      </w:r>
      <w:r>
        <w:rPr>
          <w:rFonts w:hint="eastAsia" w:ascii="仿宋_GB2312" w:hAnsi="仿宋_GB2312" w:eastAsia="仿宋_GB2312" w:cs="仿宋_GB2312"/>
          <w:kern w:val="0"/>
          <w:sz w:val="32"/>
          <w:szCs w:val="32"/>
          <w:lang w:val="en-US" w:eastAsia="zh-CN" w:bidi="ar"/>
        </w:rPr>
        <w:t>套)，单价100万元(含)以上专用设备0台(套)。</w:t>
      </w:r>
    </w:p>
    <w:p>
      <w:pPr>
        <w:keepNext w:val="0"/>
        <w:keepLines w:val="0"/>
        <w:widowControl/>
        <w:suppressLineNumbers w:val="0"/>
        <w:snapToGrid w:val="0"/>
        <w:spacing w:before="0" w:beforeAutospacing="1" w:after="0" w:afterAutospacing="1" w:line="540" w:lineRule="atLeast"/>
        <w:ind w:left="0" w:right="24"/>
        <w:jc w:val="left"/>
        <w:rPr>
          <w:rFonts w:hint="eastAsia" w:ascii="仿宋_GB2312" w:eastAsia="仿宋_GB2312" w:cs="仿宋_GB2312"/>
          <w:kern w:val="0"/>
          <w:sz w:val="24"/>
          <w:szCs w:val="24"/>
        </w:rPr>
      </w:pPr>
      <w:r>
        <w:rPr>
          <w:rFonts w:hint="eastAsia" w:ascii="仿宋_GB2312" w:hAnsi="仿宋_GB2312" w:eastAsia="仿宋_GB2312" w:cs="仿宋_GB2312"/>
          <w:kern w:val="0"/>
          <w:sz w:val="24"/>
          <w:szCs w:val="24"/>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仿宋_GB2312" w:eastAsia="仿宋_GB2312" w:cs="仿宋_GB2312"/>
          <w:kern w:val="0"/>
          <w:sz w:val="24"/>
          <w:szCs w:val="24"/>
        </w:rPr>
      </w:pPr>
      <w:r>
        <w:rPr>
          <w:rFonts w:hint="eastAsia" w:ascii="仿宋_GB2312" w:eastAsia="仿宋_GB2312" w:cs="仿宋_GB2312"/>
          <w:kern w:val="0"/>
          <w:sz w:val="24"/>
          <w:szCs w:val="24"/>
          <w:lang w:val="en-US" w:eastAsia="zh-CN" w:bidi="ar"/>
        </w:rPr>
        <w:t xml:space="preserve"> </w:t>
      </w:r>
    </w:p>
    <w:p>
      <w:pPr>
        <w:pStyle w:val="3"/>
        <w:keepNext w:val="0"/>
        <w:keepLines w:val="0"/>
        <w:widowControl/>
        <w:suppressLineNumbers w:val="0"/>
        <w:snapToGrid w:val="0"/>
        <w:jc w:val="center"/>
        <w:rPr>
          <w:rFonts w:hint="eastAsia" w:ascii="宋体" w:hAnsi="宋体" w:eastAsia="宋体" w:cs="宋体"/>
          <w:b/>
          <w:kern w:val="44"/>
          <w:sz w:val="48"/>
          <w:szCs w:val="48"/>
        </w:rPr>
      </w:pPr>
      <w:r>
        <w:rPr>
          <w:rFonts w:hint="eastAsia" w:ascii="宋体" w:hAnsi="宋体" w:eastAsia="宋体" w:cs="宋体"/>
          <w:b/>
          <w:kern w:val="44"/>
          <w:sz w:val="48"/>
          <w:szCs w:val="48"/>
        </w:rPr>
        <w:t>第四部分  2019年重点工作完成情况</w:t>
      </w:r>
    </w:p>
    <w:p>
      <w:pPr>
        <w:keepNext w:val="0"/>
        <w:keepLines w:val="0"/>
        <w:widowControl/>
        <w:suppressLineNumbers w:val="0"/>
        <w:snapToGrid w:val="0"/>
        <w:spacing w:before="0" w:beforeAutospacing="1" w:after="0" w:afterAutospacing="1" w:line="580" w:lineRule="atLeast"/>
        <w:ind w:left="0" w:right="0" w:firstLine="640"/>
        <w:jc w:val="center"/>
        <w:rPr>
          <w:rFonts w:hint="eastAsia" w:ascii="仿宋_GB2312" w:eastAsia="仿宋_GB2312" w:cs="仿宋_GB2312"/>
          <w:kern w:val="0"/>
          <w:sz w:val="24"/>
          <w:szCs w:val="24"/>
        </w:rPr>
      </w:pPr>
      <w:r>
        <w:rPr>
          <w:rFonts w:hint="eastAsia" w:ascii="仿宋_GB2312" w:hAnsi="仿宋_GB2312" w:eastAsia="仿宋_GB2312" w:cs="仿宋_GB2312"/>
          <w:kern w:val="0"/>
          <w:sz w:val="24"/>
          <w:szCs w:val="24"/>
          <w:lang w:val="en-US" w:eastAsia="zh-CN" w:bidi="ar"/>
        </w:rPr>
        <w:t xml:space="preserve"> </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highlight w:val="none"/>
        </w:rPr>
      </w:pPr>
      <w:r>
        <w:rPr>
          <w:rFonts w:hint="eastAsia" w:ascii="黑体" w:hAnsi="宋体" w:eastAsia="黑体" w:cs="黑体"/>
          <w:kern w:val="0"/>
          <w:sz w:val="32"/>
          <w:szCs w:val="32"/>
          <w:highlight w:val="none"/>
          <w:lang w:val="en-US" w:eastAsia="zh-CN" w:bidi="ar"/>
        </w:rPr>
        <w:t>一、《洪山宣传》网站维护</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2019年，累计完成全区重要会议、重大活动报道70余次；高质量编印《洪山宣传》48期；在中央、省、市级媒体用稿400余条，策划专版50余期；向“学习强国”投稿80余篇；向“大武汉宣传”网站投稿150余篇；在“洪山大学之城”微信公众号发布新闻760余条；在“洪山宣传”网站发稿640余条、视频新闻100余条。向区政务微博报送新闻信息390余条。特别是中宣部“学习强国”组织的“我和我的祖国”短视频大赛中，由中心摄制报送的参赛作品《石头代表我的心》获得全国三等奖，其中，湖北省有个4个获奖作品，而武汉市只有洪山一家获奖。</w:t>
      </w:r>
    </w:p>
    <w:p>
      <w:pPr>
        <w:keepNext w:val="0"/>
        <w:keepLines w:val="0"/>
        <w:widowControl/>
        <w:suppressLineNumbers w:val="0"/>
        <w:snapToGrid w:val="0"/>
        <w:spacing w:before="0" w:beforeAutospacing="1" w:after="0" w:afterAutospacing="1" w:line="580" w:lineRule="atLeast"/>
        <w:ind w:left="0" w:right="0" w:firstLine="640"/>
        <w:jc w:val="left"/>
        <w:rPr>
          <w:rFonts w:hint="eastAsia" w:ascii="仿宋_GB2312" w:eastAsia="仿宋_GB2312" w:cs="仿宋_GB2312"/>
          <w:kern w:val="0"/>
          <w:sz w:val="24"/>
          <w:szCs w:val="24"/>
          <w:highlight w:val="none"/>
        </w:rPr>
      </w:pPr>
      <w:r>
        <w:rPr>
          <w:rFonts w:hint="eastAsia" w:ascii="黑体" w:hAnsi="宋体" w:eastAsia="黑体" w:cs="黑体"/>
          <w:kern w:val="0"/>
          <w:sz w:val="32"/>
          <w:szCs w:val="32"/>
          <w:highlight w:val="none"/>
          <w:lang w:val="en-US" w:eastAsia="zh-CN" w:bidi="ar"/>
        </w:rPr>
        <w:t>二、舆情监控</w:t>
      </w:r>
    </w:p>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全年共监测、研判、处置涉及我区各类负面舆情信息2200余条，下达舆情处置单36份，发表网络正面跟评近1500条，为我区各项事业的发展营造了和谐稳定的舆论环境</w:t>
      </w:r>
      <w:r>
        <w:rPr>
          <w:rFonts w:hint="eastAsia" w:cs="仿宋_GB2312"/>
          <w:kern w:val="0"/>
          <w:sz w:val="32"/>
          <w:szCs w:val="32"/>
          <w:lang w:val="en-US" w:eastAsia="zh-CN" w:bidi="ar"/>
        </w:rPr>
        <w:t>，同时</w:t>
      </w:r>
      <w:r>
        <w:rPr>
          <w:rFonts w:hint="eastAsia" w:ascii="仿宋_GB2312" w:hAnsi="仿宋_GB2312" w:eastAsia="仿宋_GB2312" w:cs="仿宋_GB2312"/>
          <w:kern w:val="0"/>
          <w:sz w:val="32"/>
          <w:szCs w:val="32"/>
          <w:lang w:val="en-US" w:eastAsia="zh-CN" w:bidi="ar"/>
        </w:rPr>
        <w:t>在</w:t>
      </w:r>
      <w:r>
        <w:rPr>
          <w:rFonts w:hint="eastAsia" w:cs="仿宋_GB2312"/>
          <w:kern w:val="0"/>
          <w:sz w:val="32"/>
          <w:szCs w:val="32"/>
          <w:lang w:val="en-US" w:eastAsia="zh-CN" w:bidi="ar"/>
        </w:rPr>
        <w:t>相关</w:t>
      </w:r>
      <w:r>
        <w:rPr>
          <w:rFonts w:hint="eastAsia" w:ascii="仿宋_GB2312" w:hAnsi="仿宋_GB2312" w:eastAsia="仿宋_GB2312" w:cs="仿宋_GB2312"/>
          <w:kern w:val="0"/>
          <w:sz w:val="32"/>
          <w:szCs w:val="32"/>
          <w:lang w:val="en-US" w:eastAsia="zh-CN" w:bidi="ar"/>
        </w:rPr>
        <w:t>敏感时间节点，按照区委宣传部统一部署，启动舆情管理应急响应，特别是在军运会期间，按照“迎大庆、保军运”平安稳定“五个零”目标要求，每日向区委宣传部报送舆情专报信息，为军运会的胜利召开营造了和谐清朗的网络空间。</w:t>
      </w:r>
    </w:p>
    <w:p>
      <w:pPr>
        <w:keepNext w:val="0"/>
        <w:keepLines w:val="0"/>
        <w:widowControl/>
        <w:suppressLineNumbers w:val="0"/>
        <w:snapToGrid w:val="0"/>
        <w:spacing w:before="0" w:beforeAutospacing="1" w:after="0" w:afterAutospacing="1" w:line="580" w:lineRule="atLeast"/>
        <w:ind w:right="0"/>
        <w:jc w:val="left"/>
        <w:rPr>
          <w:rFonts w:hint="eastAsia" w:ascii="仿宋_GB2312" w:eastAsia="仿宋_GB2312" w:cs="仿宋_GB2312"/>
          <w:kern w:val="0"/>
          <w:sz w:val="24"/>
          <w:szCs w:val="24"/>
        </w:rPr>
      </w:pPr>
      <w:r>
        <w:rPr>
          <w:rFonts w:hint="eastAsia" w:ascii="黑体" w:hAnsi="宋体" w:eastAsia="黑体" w:cs="黑体"/>
          <w:kern w:val="0"/>
          <w:sz w:val="32"/>
          <w:szCs w:val="32"/>
          <w:lang w:val="en-US" w:eastAsia="zh-CN" w:bidi="ar"/>
        </w:rPr>
        <w:t xml:space="preserve"> </w:t>
      </w:r>
    </w:p>
    <w:tbl>
      <w:tblPr>
        <w:tblStyle w:val="11"/>
        <w:tblW w:w="8522" w:type="dxa"/>
        <w:tblInd w:w="-116" w:type="dxa"/>
        <w:shd w:val="clear" w:color="auto" w:fill="auto"/>
        <w:tblLayout w:type="fixed"/>
        <w:tblCellMar>
          <w:top w:w="0" w:type="dxa"/>
          <w:left w:w="0" w:type="dxa"/>
          <w:bottom w:w="0" w:type="dxa"/>
          <w:right w:w="0" w:type="dxa"/>
        </w:tblCellMar>
      </w:tblPr>
      <w:tblGrid>
        <w:gridCol w:w="1311"/>
        <w:gridCol w:w="1985"/>
        <w:gridCol w:w="2736"/>
        <w:gridCol w:w="2490"/>
      </w:tblGrid>
      <w:tr>
        <w:tblPrEx>
          <w:tblCellMar>
            <w:top w:w="0" w:type="dxa"/>
            <w:left w:w="0" w:type="dxa"/>
            <w:bottom w:w="0" w:type="dxa"/>
            <w:right w:w="0" w:type="dxa"/>
          </w:tblCellMar>
        </w:tblPrEx>
        <w:trPr>
          <w:trHeight w:val="1026" w:hRule="atLeast"/>
        </w:trPr>
        <w:tc>
          <w:tcPr>
            <w:tcW w:w="1311" w:type="dxa"/>
            <w:tcBorders>
              <w:top w:val="single" w:color="auto" w:sz="8" w:space="0"/>
              <w:left w:val="single" w:color="auto" w:sz="8" w:space="0"/>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0" w:right="0"/>
              <w:jc w:val="center"/>
              <w:rPr>
                <w:rFonts w:hint="eastAsia" w:ascii="仿宋_GB2312" w:hAnsi="Times New Roman" w:eastAsia="仿宋_GB2312" w:cs="仿宋_GB2312"/>
                <w:kern w:val="0"/>
                <w:sz w:val="24"/>
                <w:szCs w:val="24"/>
              </w:rPr>
            </w:pPr>
            <w:r>
              <w:rPr>
                <w:rFonts w:hint="eastAsia" w:ascii="黑体" w:hAnsi="宋体" w:eastAsia="黑体" w:cs="黑体"/>
                <w:kern w:val="0"/>
                <w:sz w:val="32"/>
                <w:szCs w:val="32"/>
                <w:lang w:val="en-US" w:eastAsia="zh-CN" w:bidi="ar"/>
              </w:rPr>
              <w:t>序号</w:t>
            </w:r>
          </w:p>
        </w:tc>
        <w:tc>
          <w:tcPr>
            <w:tcW w:w="1985" w:type="dxa"/>
            <w:tcBorders>
              <w:top w:val="single" w:color="auto" w:sz="8" w:space="0"/>
              <w:left w:val="nil"/>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0" w:right="0"/>
              <w:jc w:val="center"/>
              <w:rPr>
                <w:rFonts w:hint="eastAsia" w:ascii="仿宋_GB2312" w:hAnsi="Times New Roman" w:eastAsia="仿宋_GB2312" w:cs="仿宋_GB2312"/>
                <w:kern w:val="0"/>
                <w:sz w:val="24"/>
                <w:szCs w:val="24"/>
              </w:rPr>
            </w:pPr>
            <w:r>
              <w:rPr>
                <w:rFonts w:hint="eastAsia" w:ascii="仿宋_GB2312" w:hAnsi="Times New Roman" w:eastAsia="仿宋_GB2312" w:cs="仿宋_GB2312"/>
                <w:kern w:val="0"/>
                <w:sz w:val="32"/>
                <w:szCs w:val="32"/>
                <w:lang w:val="en-US" w:eastAsia="zh-CN" w:bidi="ar"/>
              </w:rPr>
              <w:t>重要事项</w:t>
            </w:r>
          </w:p>
        </w:tc>
        <w:tc>
          <w:tcPr>
            <w:tcW w:w="2736" w:type="dxa"/>
            <w:tcBorders>
              <w:top w:val="single" w:color="auto" w:sz="8" w:space="0"/>
              <w:left w:val="nil"/>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0" w:right="0"/>
              <w:jc w:val="center"/>
              <w:rPr>
                <w:rFonts w:hint="eastAsia" w:ascii="仿宋_GB2312" w:hAnsi="Times New Roman" w:eastAsia="仿宋_GB2312" w:cs="仿宋_GB2312"/>
                <w:kern w:val="0"/>
                <w:sz w:val="24"/>
                <w:szCs w:val="24"/>
              </w:rPr>
            </w:pPr>
            <w:r>
              <w:rPr>
                <w:rFonts w:hint="eastAsia" w:ascii="仿宋_GB2312" w:hAnsi="Times New Roman" w:eastAsia="仿宋_GB2312" w:cs="仿宋_GB2312"/>
                <w:kern w:val="0"/>
                <w:sz w:val="32"/>
                <w:szCs w:val="32"/>
                <w:lang w:val="en-US" w:eastAsia="zh-CN" w:bidi="ar"/>
              </w:rPr>
              <w:t>工作内容及目标</w:t>
            </w:r>
          </w:p>
        </w:tc>
        <w:tc>
          <w:tcPr>
            <w:tcW w:w="2490" w:type="dxa"/>
            <w:tcBorders>
              <w:top w:val="single" w:color="auto" w:sz="8" w:space="0"/>
              <w:left w:val="nil"/>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0" w:right="0"/>
              <w:jc w:val="center"/>
              <w:rPr>
                <w:rFonts w:hint="eastAsia" w:ascii="仿宋_GB2312" w:hAnsi="Times New Roman" w:eastAsia="仿宋_GB2312" w:cs="仿宋_GB2312"/>
                <w:kern w:val="0"/>
                <w:sz w:val="24"/>
                <w:szCs w:val="24"/>
              </w:rPr>
            </w:pPr>
            <w:r>
              <w:rPr>
                <w:rFonts w:hint="eastAsia" w:ascii="仿宋_GB2312" w:hAnsi="Times New Roman" w:eastAsia="仿宋_GB2312" w:cs="仿宋_GB2312"/>
                <w:kern w:val="0"/>
                <w:sz w:val="32"/>
                <w:szCs w:val="32"/>
                <w:lang w:val="en-US" w:eastAsia="zh-CN" w:bidi="ar"/>
              </w:rPr>
              <w:t>完成情况</w:t>
            </w:r>
          </w:p>
        </w:tc>
      </w:tr>
      <w:tr>
        <w:tblPrEx>
          <w:tblCellMar>
            <w:top w:w="0" w:type="dxa"/>
            <w:left w:w="0" w:type="dxa"/>
            <w:bottom w:w="0" w:type="dxa"/>
            <w:right w:w="0" w:type="dxa"/>
          </w:tblCellMar>
        </w:tblPrEx>
        <w:trPr>
          <w:trHeight w:val="906" w:hRule="atLeast"/>
        </w:trPr>
        <w:tc>
          <w:tcPr>
            <w:tcW w:w="1311" w:type="dxa"/>
            <w:tcBorders>
              <w:top w:val="nil"/>
              <w:left w:val="single" w:color="auto" w:sz="8" w:space="0"/>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0" w:right="0"/>
              <w:jc w:val="center"/>
              <w:rPr>
                <w:rFonts w:hint="eastAsia" w:ascii="仿宋_GB2312" w:hAnsi="Times New Roman" w:eastAsia="仿宋_GB2312" w:cs="仿宋_GB2312"/>
                <w:kern w:val="0"/>
                <w:sz w:val="24"/>
                <w:szCs w:val="24"/>
              </w:rPr>
            </w:pPr>
            <w:r>
              <w:rPr>
                <w:rFonts w:hint="eastAsia" w:ascii="宋体" w:hAnsi="宋体" w:eastAsia="宋体" w:cs="宋体"/>
                <w:kern w:val="0"/>
                <w:sz w:val="32"/>
                <w:szCs w:val="32"/>
                <w:lang w:val="en-US" w:eastAsia="zh-CN" w:bidi="ar"/>
              </w:rPr>
              <w:t>1</w:t>
            </w:r>
          </w:p>
        </w:tc>
        <w:tc>
          <w:tcPr>
            <w:tcW w:w="1985" w:type="dxa"/>
            <w:tcBorders>
              <w:top w:val="nil"/>
              <w:left w:val="nil"/>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240" w:leftChars="-100" w:right="-77" w:rightChars="-32" w:firstLine="238" w:firstLineChars="85"/>
              <w:jc w:val="both"/>
              <w:rPr>
                <w:rFonts w:hint="eastAsia" w:ascii="仿宋_GB2312" w:hAnsi="Times New Roman" w:eastAsia="仿宋_GB2312" w:cs="仿宋_GB2312"/>
                <w:kern w:val="0"/>
                <w:sz w:val="24"/>
                <w:szCs w:val="24"/>
              </w:rPr>
            </w:pPr>
            <w:r>
              <w:rPr>
                <w:rFonts w:hint="eastAsia" w:ascii="仿宋_GB2312" w:hAnsi="Times New Roman" w:eastAsia="仿宋_GB2312" w:cs="仿宋_GB2312"/>
                <w:kern w:val="0"/>
                <w:sz w:val="28"/>
                <w:szCs w:val="28"/>
                <w:lang w:val="en-US" w:eastAsia="zh-CN" w:bidi="ar"/>
              </w:rPr>
              <w:t>《洪山宣传》</w:t>
            </w:r>
          </w:p>
        </w:tc>
        <w:tc>
          <w:tcPr>
            <w:tcW w:w="2736" w:type="dxa"/>
            <w:tcBorders>
              <w:top w:val="nil"/>
              <w:left w:val="nil"/>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0" w:right="0" w:firstLine="640" w:firstLineChars="200"/>
              <w:jc w:val="left"/>
              <w:rPr>
                <w:rFonts w:hint="eastAsia" w:ascii="仿宋_GB2312" w:hAnsi="Times New Roman" w:eastAsia="仿宋_GB2312" w:cs="仿宋_GB2312"/>
                <w:kern w:val="0"/>
                <w:sz w:val="24"/>
                <w:szCs w:val="24"/>
                <w:lang w:eastAsia="zh-CN"/>
              </w:rPr>
            </w:pPr>
            <w:r>
              <w:rPr>
                <w:rFonts w:hint="eastAsia" w:ascii="仿宋_GB2312" w:hAnsi="Times New Roman" w:eastAsia="仿宋_GB2312" w:cs="仿宋_GB2312"/>
                <w:kern w:val="0"/>
                <w:sz w:val="32"/>
                <w:szCs w:val="32"/>
                <w:lang w:val="en-US" w:eastAsia="zh-CN" w:bidi="ar"/>
              </w:rPr>
              <w:t>完成全区重要会议、重大活动报道高质量编印《洪山宣传》。</w:t>
            </w:r>
          </w:p>
        </w:tc>
        <w:tc>
          <w:tcPr>
            <w:tcW w:w="2490" w:type="dxa"/>
            <w:tcBorders>
              <w:top w:val="nil"/>
              <w:left w:val="nil"/>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240" w:leftChars="-100" w:right="-77" w:rightChars="-32" w:firstLine="272" w:firstLineChars="85"/>
              <w:jc w:val="center"/>
              <w:rPr>
                <w:rFonts w:hint="eastAsia" w:ascii="仿宋_GB2312" w:hAnsi="仿宋_GB2312" w:eastAsia="仿宋_GB2312" w:cs="仿宋_GB2312"/>
                <w:sz w:val="28"/>
                <w:szCs w:val="28"/>
              </w:rPr>
            </w:pPr>
            <w:r>
              <w:rPr>
                <w:rFonts w:hint="eastAsia" w:ascii="仿宋_GB2312" w:hAnsi="Times New Roman" w:eastAsia="仿宋_GB2312" w:cs="仿宋_GB2312"/>
                <w:kern w:val="0"/>
                <w:sz w:val="32"/>
                <w:szCs w:val="32"/>
                <w:lang w:val="en-US" w:eastAsia="zh-CN" w:bidi="ar"/>
              </w:rPr>
              <w:t>良好</w:t>
            </w:r>
          </w:p>
        </w:tc>
      </w:tr>
      <w:tr>
        <w:tblPrEx>
          <w:tblCellMar>
            <w:top w:w="0" w:type="dxa"/>
            <w:left w:w="0" w:type="dxa"/>
            <w:bottom w:w="0" w:type="dxa"/>
            <w:right w:w="0" w:type="dxa"/>
          </w:tblCellMar>
        </w:tblPrEx>
        <w:trPr>
          <w:trHeight w:val="932" w:hRule="atLeast"/>
        </w:trPr>
        <w:tc>
          <w:tcPr>
            <w:tcW w:w="1311" w:type="dxa"/>
            <w:tcBorders>
              <w:top w:val="nil"/>
              <w:left w:val="single" w:color="auto" w:sz="8" w:space="0"/>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0" w:right="0"/>
              <w:jc w:val="center"/>
              <w:rPr>
                <w:rFonts w:hint="eastAsia" w:ascii="仿宋_GB2312" w:hAnsi="Times New Roman" w:eastAsia="仿宋_GB2312" w:cs="仿宋_GB2312"/>
                <w:kern w:val="0"/>
                <w:sz w:val="24"/>
                <w:szCs w:val="24"/>
              </w:rPr>
            </w:pPr>
            <w:r>
              <w:rPr>
                <w:rFonts w:hint="eastAsia" w:ascii="宋体" w:hAnsi="宋体" w:eastAsia="宋体" w:cs="宋体"/>
                <w:kern w:val="0"/>
                <w:sz w:val="32"/>
                <w:szCs w:val="32"/>
                <w:lang w:val="en-US" w:eastAsia="zh-CN" w:bidi="ar"/>
              </w:rPr>
              <w:t>2</w:t>
            </w:r>
          </w:p>
        </w:tc>
        <w:tc>
          <w:tcPr>
            <w:tcW w:w="1985" w:type="dxa"/>
            <w:tcBorders>
              <w:top w:val="nil"/>
              <w:left w:val="nil"/>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0" w:right="0"/>
              <w:jc w:val="center"/>
              <w:rPr>
                <w:rFonts w:hint="eastAsia" w:ascii="仿宋_GB2312" w:hAnsi="Times New Roman" w:eastAsia="仿宋_GB2312" w:cs="仿宋_GB2312"/>
                <w:kern w:val="0"/>
                <w:sz w:val="24"/>
                <w:szCs w:val="24"/>
              </w:rPr>
            </w:pPr>
            <w:r>
              <w:rPr>
                <w:rFonts w:hint="eastAsia" w:ascii="仿宋_GB2312" w:hAnsi="Times New Roman" w:eastAsia="仿宋_GB2312" w:cs="仿宋_GB2312"/>
                <w:kern w:val="0"/>
                <w:sz w:val="32"/>
                <w:szCs w:val="32"/>
                <w:lang w:val="en-US" w:eastAsia="zh-CN" w:bidi="ar"/>
              </w:rPr>
              <w:t>舆情监控 </w:t>
            </w:r>
          </w:p>
        </w:tc>
        <w:tc>
          <w:tcPr>
            <w:tcW w:w="2736" w:type="dxa"/>
            <w:tcBorders>
              <w:top w:val="nil"/>
              <w:left w:val="nil"/>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40" w:lineRule="atLeast"/>
              <w:ind w:left="0" w:right="0" w:firstLine="640"/>
              <w:jc w:val="left"/>
              <w:rPr>
                <w:rFonts w:hint="eastAsia" w:ascii="仿宋_GB2312" w:hAnsi="Times New Roman" w:eastAsia="仿宋_GB2312" w:cs="仿宋_GB2312"/>
                <w:kern w:val="0"/>
                <w:sz w:val="24"/>
                <w:szCs w:val="24"/>
              </w:rPr>
            </w:pPr>
            <w:r>
              <w:rPr>
                <w:rFonts w:hint="eastAsia" w:ascii="仿宋_GB2312" w:hAnsi="Times New Roman" w:eastAsia="仿宋_GB2312" w:cs="仿宋_GB2312"/>
                <w:kern w:val="0"/>
                <w:sz w:val="32"/>
                <w:szCs w:val="32"/>
                <w:lang w:val="en-US" w:eastAsia="zh-CN" w:bidi="ar"/>
              </w:rPr>
              <w:t>为我区各项事业的发展营造和谐稳定的舆论环境，为军运会的胜利召开营造了和谐清朗的网络空间。</w:t>
            </w:r>
            <w:r>
              <w:rPr>
                <w:rFonts w:hint="eastAsia" w:ascii="黑体" w:hAnsi="宋体" w:eastAsia="黑体" w:cs="黑体"/>
                <w:kern w:val="0"/>
                <w:sz w:val="32"/>
                <w:szCs w:val="32"/>
                <w:lang w:val="en-US" w:eastAsia="zh-CN" w:bidi="ar"/>
              </w:rPr>
              <w:t> </w:t>
            </w:r>
          </w:p>
        </w:tc>
        <w:tc>
          <w:tcPr>
            <w:tcW w:w="2490" w:type="dxa"/>
            <w:tcBorders>
              <w:top w:val="nil"/>
              <w:left w:val="nil"/>
              <w:bottom w:val="single" w:color="auto" w:sz="8" w:space="0"/>
              <w:right w:val="single" w:color="auto" w:sz="8" w:space="0"/>
            </w:tcBorders>
            <w:shd w:val="clear" w:color="auto" w:fill="auto"/>
            <w:tcMar>
              <w:left w:w="108" w:type="dxa"/>
              <w:right w:w="108" w:type="dxa"/>
            </w:tcMar>
            <w:vAlign w:val="center"/>
          </w:tcPr>
          <w:p>
            <w:pPr>
              <w:keepNext w:val="0"/>
              <w:keepLines w:val="0"/>
              <w:widowControl/>
              <w:suppressLineNumbers w:val="0"/>
              <w:snapToGrid w:val="0"/>
              <w:spacing w:before="0" w:beforeAutospacing="1" w:after="0" w:afterAutospacing="1" w:line="580" w:lineRule="atLeast"/>
              <w:ind w:left="-240" w:leftChars="-100" w:right="-77" w:rightChars="-32" w:firstLine="272" w:firstLineChars="85"/>
              <w:jc w:val="center"/>
              <w:rPr>
                <w:rFonts w:hint="eastAsia" w:ascii="仿宋_GB2312" w:hAnsi="仿宋_GB2312" w:eastAsia="仿宋_GB2312" w:cs="仿宋_GB2312"/>
                <w:sz w:val="28"/>
                <w:szCs w:val="28"/>
                <w:lang w:val="en-US"/>
              </w:rPr>
            </w:pPr>
            <w:r>
              <w:rPr>
                <w:rFonts w:hint="eastAsia" w:ascii="仿宋_GB2312" w:hAnsi="Times New Roman" w:eastAsia="仿宋_GB2312" w:cs="仿宋_GB2312"/>
                <w:kern w:val="0"/>
                <w:sz w:val="32"/>
                <w:szCs w:val="32"/>
                <w:lang w:val="en-US" w:eastAsia="zh-CN" w:bidi="ar"/>
              </w:rPr>
              <w:t>良好</w:t>
            </w:r>
          </w:p>
        </w:tc>
      </w:tr>
    </w:tbl>
    <w:p>
      <w:pPr>
        <w:keepNext w:val="0"/>
        <w:keepLines w:val="0"/>
        <w:widowControl/>
        <w:suppressLineNumbers w:val="0"/>
        <w:snapToGrid w:val="0"/>
        <w:spacing w:before="0" w:beforeAutospacing="1" w:after="0" w:afterAutospacing="1"/>
        <w:ind w:left="0" w:right="0"/>
        <w:jc w:val="center"/>
        <w:rPr>
          <w:rFonts w:hint="eastAsia" w:ascii="仿宋_GB2312" w:eastAsia="仿宋_GB2312" w:cs="仿宋_GB2312"/>
          <w:kern w:val="0"/>
          <w:sz w:val="24"/>
          <w:szCs w:val="24"/>
        </w:rPr>
      </w:pPr>
      <w:r>
        <w:rPr>
          <w:rFonts w:hint="eastAsia" w:ascii="仿宋_GB2312" w:hAnsi="仿宋_GB2312" w:eastAsia="仿宋_GB2312" w:cs="仿宋_GB2312"/>
          <w:kern w:val="0"/>
          <w:sz w:val="24"/>
          <w:szCs w:val="24"/>
          <w:lang w:val="en-US" w:eastAsia="zh-CN" w:bidi="ar"/>
        </w:rPr>
        <w:t xml:space="preserve"> </w:t>
      </w:r>
    </w:p>
    <w:p>
      <w:pPr>
        <w:pStyle w:val="10"/>
        <w:keepNext w:val="0"/>
        <w:keepLines w:val="0"/>
        <w:widowControl/>
        <w:suppressLineNumbers w:val="0"/>
        <w:snapToGrid w:val="0"/>
        <w:spacing w:before="0" w:beforeAutospacing="1" w:after="0" w:afterAutospacing="1"/>
        <w:ind w:left="0" w:right="0"/>
        <w:jc w:val="left"/>
        <w:rPr>
          <w:rFonts w:hint="eastAsia" w:ascii="宋体" w:hAnsi="宋体" w:eastAsia="宋体" w:cs="宋体"/>
          <w:b/>
          <w:kern w:val="44"/>
          <w:sz w:val="48"/>
          <w:szCs w:val="48"/>
        </w:rPr>
      </w:pPr>
      <w:r>
        <w:rPr>
          <w:rFonts w:hint="eastAsia" w:ascii="仿宋_GB2312" w:eastAsia="仿宋_GB2312" w:cs="仿宋_GB2312"/>
          <w:kern w:val="0"/>
          <w:sz w:val="24"/>
          <w:szCs w:val="24"/>
          <w:lang w:val="en-US" w:eastAsia="zh-CN" w:bidi="ar"/>
        </w:rPr>
        <w:t xml:space="preserve"> </w:t>
      </w:r>
      <w:r>
        <w:rPr>
          <w:rFonts w:hint="eastAsia" w:cs="仿宋_GB2312"/>
          <w:kern w:val="0"/>
          <w:sz w:val="24"/>
          <w:szCs w:val="24"/>
          <w:lang w:val="en-US" w:eastAsia="zh-CN" w:bidi="ar"/>
        </w:rPr>
        <w:t xml:space="preserve">              </w:t>
      </w:r>
      <w:r>
        <w:rPr>
          <w:rFonts w:hint="eastAsia" w:ascii="宋体" w:hAnsi="宋体" w:eastAsia="宋体" w:cs="宋体"/>
          <w:b/>
          <w:kern w:val="44"/>
          <w:sz w:val="48"/>
          <w:szCs w:val="48"/>
        </w:rPr>
        <w:t>第五部分  名词解释</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(一)</w:t>
      </w:r>
      <w:r>
        <w:rPr>
          <w:rFonts w:hint="eastAsia" w:ascii="仿宋_GB2312" w:hAnsi="仿宋_GB2312" w:eastAsia="仿宋_GB2312" w:cs="仿宋_GB2312"/>
          <w:spacing w:val="6"/>
          <w:kern w:val="0"/>
          <w:sz w:val="32"/>
          <w:szCs w:val="32"/>
          <w:lang w:val="en-US" w:eastAsia="zh-CN" w:bidi="ar"/>
        </w:rPr>
        <w:t>一般公共预算</w:t>
      </w:r>
      <w:r>
        <w:rPr>
          <w:rFonts w:hint="eastAsia" w:ascii="仿宋_GB2312" w:hAnsi="仿宋_GB2312" w:eastAsia="仿宋_GB2312" w:cs="仿宋_GB2312"/>
          <w:kern w:val="0"/>
          <w:sz w:val="32"/>
          <w:szCs w:val="32"/>
          <w:lang w:val="en-US" w:eastAsia="zh-CN" w:bidi="ar"/>
        </w:rPr>
        <w:t>财政拨款收入：指市级财政</w:t>
      </w:r>
      <w:r>
        <w:rPr>
          <w:rFonts w:hint="eastAsia" w:ascii="仿宋_GB2312" w:hAnsi="仿宋_GB2312" w:eastAsia="仿宋_GB2312" w:cs="仿宋_GB2312"/>
          <w:spacing w:val="6"/>
          <w:kern w:val="0"/>
          <w:sz w:val="32"/>
          <w:szCs w:val="32"/>
          <w:lang w:val="en-US" w:eastAsia="zh-CN" w:bidi="ar"/>
        </w:rPr>
        <w:t>一般公共预算</w:t>
      </w:r>
      <w:r>
        <w:rPr>
          <w:rFonts w:hint="eastAsia" w:ascii="仿宋_GB2312" w:hAnsi="仿宋_GB2312" w:eastAsia="仿宋_GB2312" w:cs="仿宋_GB2312"/>
          <w:kern w:val="0"/>
          <w:sz w:val="32"/>
          <w:szCs w:val="32"/>
          <w:lang w:val="en-US" w:eastAsia="zh-CN" w:bidi="ar"/>
        </w:rPr>
        <w:t>当年拨付的资金。</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(二)政府性基金</w:t>
      </w:r>
      <w:r>
        <w:rPr>
          <w:rFonts w:hint="eastAsia" w:ascii="仿宋_GB2312" w:hAnsi="仿宋_GB2312" w:eastAsia="仿宋_GB2312" w:cs="仿宋_GB2312"/>
          <w:spacing w:val="6"/>
          <w:kern w:val="0"/>
          <w:sz w:val="32"/>
          <w:szCs w:val="32"/>
          <w:lang w:val="en-US" w:eastAsia="zh-CN" w:bidi="ar"/>
        </w:rPr>
        <w:t>预算</w:t>
      </w:r>
      <w:r>
        <w:rPr>
          <w:rFonts w:hint="eastAsia" w:ascii="仿宋_GB2312" w:hAnsi="仿宋_GB2312" w:eastAsia="仿宋_GB2312" w:cs="仿宋_GB2312"/>
          <w:kern w:val="0"/>
          <w:sz w:val="32"/>
          <w:szCs w:val="32"/>
          <w:lang w:val="en-US" w:eastAsia="zh-CN" w:bidi="ar"/>
        </w:rPr>
        <w:t>财政拨款收入：指市级财政政府性基金</w:t>
      </w:r>
      <w:r>
        <w:rPr>
          <w:rFonts w:hint="eastAsia" w:ascii="仿宋_GB2312" w:hAnsi="仿宋_GB2312" w:eastAsia="仿宋_GB2312" w:cs="仿宋_GB2312"/>
          <w:spacing w:val="6"/>
          <w:kern w:val="0"/>
          <w:sz w:val="32"/>
          <w:szCs w:val="32"/>
          <w:lang w:val="en-US" w:eastAsia="zh-CN" w:bidi="ar"/>
        </w:rPr>
        <w:t>预算</w:t>
      </w:r>
      <w:r>
        <w:rPr>
          <w:rFonts w:hint="eastAsia" w:ascii="仿宋_GB2312" w:hAnsi="仿宋_GB2312" w:eastAsia="仿宋_GB2312" w:cs="仿宋_GB2312"/>
          <w:kern w:val="0"/>
          <w:sz w:val="32"/>
          <w:szCs w:val="32"/>
          <w:lang w:val="en-US" w:eastAsia="zh-CN" w:bidi="ar"/>
        </w:rPr>
        <w:t>当年拨付的资金。</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(三)上级补助收入：指从事业单位主管部门和上级单位取得的非财政补助收入。</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(四)事业收入：指事业单位开展专业业务活动及其辅助活动取得的收入。</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(五)经营收入：指事业单位在专业业务活动及其辅助活动之外开展非独立核算经营活动取得的收入。</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(六)其他收入：指单位取得的除上述收入以外的各项收入。</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color w:val="000000"/>
          <w:kern w:val="0"/>
          <w:sz w:val="32"/>
          <w:szCs w:val="32"/>
          <w:lang w:val="en-US" w:eastAsia="zh-CN" w:bidi="ar"/>
        </w:rPr>
      </w:pPr>
      <w:r>
        <w:rPr>
          <w:rFonts w:hint="eastAsia" w:ascii="仿宋_GB2312" w:hAnsi="仿宋_GB2312" w:eastAsia="仿宋_GB2312" w:cs="仿宋_GB2312"/>
          <w:kern w:val="0"/>
          <w:sz w:val="32"/>
          <w:szCs w:val="32"/>
          <w:lang w:val="en-US" w:eastAsia="zh-CN" w:bidi="ar"/>
        </w:rPr>
        <w:t>(七)用事业基金弥补收支差额：</w:t>
      </w:r>
      <w:r>
        <w:rPr>
          <w:rFonts w:hint="eastAsia" w:ascii="仿宋_GB2312" w:hAnsi="仿宋_GB2312" w:eastAsia="仿宋_GB2312" w:cs="仿宋_GB2312"/>
          <w:color w:val="000000"/>
          <w:kern w:val="0"/>
          <w:sz w:val="32"/>
          <w:szCs w:val="32"/>
          <w:lang w:val="en-US" w:eastAsia="zh-CN" w:bidi="ar"/>
        </w:rPr>
        <w:t>指事业单位在当年的一般公共预算财政拨款收入、事业收入、经营收入、其他收入不足以安排当年支出的情况下，使用以前年度积累的事业基金(事业单位当年收支相抵后按国家规定提取、用于弥补以后年度收支差额的基金)弥补本年度收支缺口的资金。</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(八)年初结转和结余：</w:t>
      </w:r>
      <w:r>
        <w:rPr>
          <w:rFonts w:hint="eastAsia" w:ascii="仿宋_GB2312" w:hAnsi="仿宋_GB2312" w:eastAsia="仿宋_GB2312" w:cs="仿宋_GB2312"/>
          <w:color w:val="000000"/>
          <w:kern w:val="0"/>
          <w:sz w:val="32"/>
          <w:szCs w:val="32"/>
          <w:lang w:val="en-US" w:eastAsia="zh-CN" w:bidi="ar"/>
        </w:rPr>
        <w:t>指以前年度安排、结转到本年仍按原规定用途继续使用的资金。</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(九)本部门使用的支出功能分类科目(到项级)</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1.一般公共服务支出（类）财政事务（款）行政运行（项）：指行政单位（包括实行公务员管理的事业单位）的基本支出。</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2.一般公共服务支出（类）财政事务（款）一般行政管理事务（项）：指行政单位（包括实行公务员管理的事业单位）未单独设置项级科目的其他项目支出。</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3.一般公共服务支出（类）财政事务（款）事业运行（项）：指事业单位的基本支出。</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4.一般公共服务支出（类）财政事务（款）其他财政事务支出（项）：指除上述项目以外其他财政事务方面的支出。</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5.社会保障和就业支出（类）行政事业单位离退休（款）机关事业单位基本养老保险缴费支出（项）：指机关事业单位实施养老保险制度由单位缴纳的基本养老保险费支出。</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6.社会保障和就业支出（类）行政事业单位离退休（款）机关事业单位职业年金缴费支出（项）：指机关事业单位实施养老保险制度由单位缴纳的职业年金支出。</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7.医疗卫生与计划生育支出（类）行政事业单位医疗（款）事业单位医疗（项）：指财政部门集中安排的事业单位基本医疗保险缴费经费。</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8.住房保障支出（类）住房改革支出（款）住房公积金（项）：指行政事业单位按人力资源和社会保障部、财政部规定的基本工资和津贴补贴以及规定比例为职工缴纳的住房公积金。</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9.住房保障支出（类）住房改革支出（款）提租补贴（项）：指按房改政策规定的标准，行政事业单位向职工（含离退休人员）发放的租金补贴。</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right="0" w:firstLine="640" w:firstLineChars="20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(参考《2019年政府收支分类科目》说明逐项解释。)</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(十)结余分配：指事业单位按照会计制度规定缴纳的所得税以及从非财政拨款结余或经营结余中提取的职工福利基金、事业基金等。</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(十一)年末结转和结余：指单位本年度或以前年度预算安排、因客观条件发生变化未全部执行或未执行，结转到以后年度继续使用的资金，或项目已完成等产生的结余资金。</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(十二)基本支出：指为保障机构正常运转、完成日常工作任务而发生的人员支出和公用支出。</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color w:val="000000"/>
          <w:kern w:val="0"/>
          <w:sz w:val="32"/>
          <w:szCs w:val="32"/>
          <w:lang w:val="en-US" w:eastAsia="zh-CN" w:bidi="ar"/>
        </w:rPr>
        <w:t>(十三)项目支出：指在基本支出之外为完成特定行政任务或事业发展目标所发生的支出。</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(十四)上缴上级支出</w:t>
      </w:r>
      <w:r>
        <w:rPr>
          <w:rFonts w:hint="eastAsia" w:ascii="仿宋_GB2312" w:hAnsi="仿宋_GB2312" w:eastAsia="仿宋_GB2312" w:cs="仿宋_GB2312"/>
          <w:color w:val="000000"/>
          <w:kern w:val="0"/>
          <w:sz w:val="32"/>
          <w:szCs w:val="32"/>
          <w:lang w:val="en-US" w:eastAsia="zh-CN" w:bidi="ar"/>
        </w:rPr>
        <w:t>：指</w:t>
      </w:r>
      <w:r>
        <w:rPr>
          <w:rFonts w:hint="eastAsia" w:ascii="仿宋_GB2312" w:hAnsi="仿宋_GB2312" w:eastAsia="仿宋_GB2312" w:cs="仿宋_GB2312"/>
          <w:kern w:val="0"/>
          <w:sz w:val="32"/>
          <w:szCs w:val="32"/>
          <w:lang w:val="en-US" w:eastAsia="zh-CN" w:bidi="ar"/>
        </w:rPr>
        <w:t>事业单位按照财政部门和主管部门的规定上缴上级单位的支出。</w:t>
      </w:r>
      <w:r>
        <w:rPr>
          <w:rFonts w:hint="eastAsia" w:ascii="仿宋_GB2312" w:hAnsi="仿宋_GB2312" w:eastAsia="仿宋_GB2312" w:cs="仿宋_GB2312"/>
          <w:color w:val="000000"/>
          <w:kern w:val="0"/>
          <w:sz w:val="32"/>
          <w:szCs w:val="32"/>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(十五)经营支出：指事业单位在专业活动及辅助活动之外开展非独立核算经营活动发生的支出。</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十六)“三公”经费：纳入财政一般公共预算管理的“三公”经费，是指市直部门用一般公共预算财政拨款安排的因公出国(境)费、公务用车购置及运行费和公务接待费。其中，因公出国(境)费反映单位公务出国(境)的国际旅费、国外城市间交通费、住宿费、伙食费、培训费、公杂费等支出；公务用车购置及运行费反映单位公务用车购置支出(含车辆购置税、牌照费)及燃料费、维修费、过桥过路费、保险费、安全奖励费用等支出；公务接待费反映单位按规定开支的各类公务接待(含外宾接待)费用。</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十七)机关运行经费：指为保障行政单位(包括参照公务员法管理的事业单位)运行用于购买货物和服务的各项资金，包括办公及印刷费、邮电费、差旅费、会议费、福利费、日常维修费、专用材料及一般设备购置费、办公用房水电费、办公用房取暖费、办公用房物业管理费、公务用车运行维护费以及其他费用。</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(十八)各单位其他专用名词解释。</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附件：项目支出绩效自评表</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val="0"/>
        <w:spacing w:before="0" w:beforeAutospacing="1" w:after="0" w:afterAutospacing="1" w:line="600" w:lineRule="exact"/>
        <w:ind w:left="0" w:right="0" w:firstLine="640"/>
        <w:jc w:val="left"/>
        <w:textAlignment w:val="auto"/>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 </w:t>
      </w:r>
    </w:p>
    <w:p>
      <w:pPr>
        <w:keepNext w:val="0"/>
        <w:keepLines w:val="0"/>
        <w:widowControl/>
        <w:suppressLineNumbers w:val="0"/>
        <w:snapToGrid w:val="0"/>
        <w:spacing w:before="0" w:beforeAutospacing="1" w:after="0" w:afterAutospacing="1"/>
        <w:ind w:left="0" w:right="0" w:firstLine="640"/>
        <w:jc w:val="left"/>
        <w:rPr>
          <w:rFonts w:hint="eastAsia" w:ascii="仿宋_GB2312" w:eastAsia="仿宋_GB2312" w:cs="仿宋_GB2312"/>
          <w:kern w:val="0"/>
          <w:sz w:val="24"/>
          <w:szCs w:val="24"/>
        </w:rPr>
      </w:pPr>
      <w:r>
        <w:rPr>
          <w:rFonts w:hint="eastAsia" w:ascii="仿宋_GB2312" w:hAnsi="仿宋_GB2312" w:eastAsia="仿宋_GB2312" w:cs="仿宋_GB2312"/>
          <w:kern w:val="0"/>
          <w:sz w:val="32"/>
          <w:szCs w:val="32"/>
          <w:lang w:val="en-US" w:eastAsia="zh-CN" w:bidi="ar"/>
        </w:rPr>
        <w:t xml:space="preserve"> </w:t>
      </w:r>
    </w:p>
    <w:p>
      <w:pPr>
        <w:rPr>
          <w:rFonts w:hint="eastAsia"/>
        </w:rPr>
      </w:pPr>
    </w:p>
    <w:sectPr>
      <w:pgSz w:w="11915" w:h="16851"/>
      <w:pgMar w:top="1440" w:right="1800" w:bottom="1440" w:left="1800"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panose1 w:val="02010609030101010101"/>
    <w:charset w:val="86"/>
    <w:family w:val="auto"/>
    <w:pitch w:val="default"/>
    <w:sig w:usb0="00000001" w:usb1="080E0000" w:usb2="00000000" w:usb3="00000000" w:csb0="00040000" w:csb1="00000000"/>
  </w:font>
  <w:font w:name="Arial">
    <w:panose1 w:val="020B0604020202020204"/>
    <w:charset w:val="00"/>
    <w:family w:val="auto"/>
    <w:pitch w:val="default"/>
    <w:sig w:usb0="E0002EFF" w:usb1="C000785B" w:usb2="00000009" w:usb3="00000000" w:csb0="4000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D6F91A0"/>
    <w:multiLevelType w:val="singleLevel"/>
    <w:tmpl w:val="1D6F91A0"/>
    <w:lvl w:ilvl="0" w:tentative="0">
      <w:start w:val="1"/>
      <w:numFmt w:val="chineseCounting"/>
      <w:suff w:val="space"/>
      <w:lvlText w:val="第%1部分"/>
      <w:lvlJc w:val="left"/>
      <w:rPr>
        <w:rFonts w:hint="eastAsia"/>
      </w:rPr>
    </w:lvl>
  </w:abstractNum>
  <w:abstractNum w:abstractNumId="1">
    <w:nsid w:val="4EFFBBF0"/>
    <w:multiLevelType w:val="singleLevel"/>
    <w:tmpl w:val="4EFFBBF0"/>
    <w:lvl w:ilvl="0" w:tentative="0">
      <w:start w:val="1"/>
      <w:numFmt w:val="decimal"/>
      <w:suff w:val="space"/>
      <w:lvlText w:val="%1."/>
      <w:lvlJc w:val="left"/>
      <w:pPr>
        <w:ind w:left="640" w:leftChars="0" w:firstLine="0" w:firstLineChars="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7"/>
  <w:displayHorizontalDrawingGridEvery w:val="1"/>
  <w:displayVerticalDrawingGridEvery w:val="1"/>
  <w:noPunctuationKerning w:val="1"/>
  <w:characterSpacingControl w:val="doNotCompress"/>
  <w:footnotePr>
    <w:footnote w:id="0"/>
    <w:footnote w:id="1"/>
  </w:footnotePr>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U3Yzk5MDgwMjY5MTkwZGRkODBjOWZlMDEzZWMwMDkifQ=="/>
  </w:docVars>
  <w:rsids>
    <w:rsidRoot w:val="00000000"/>
    <w:rsid w:val="00C2105D"/>
    <w:rsid w:val="01C450FD"/>
    <w:rsid w:val="022670C7"/>
    <w:rsid w:val="03827191"/>
    <w:rsid w:val="0476322C"/>
    <w:rsid w:val="053B1152"/>
    <w:rsid w:val="06A5502A"/>
    <w:rsid w:val="072C595C"/>
    <w:rsid w:val="07B15B08"/>
    <w:rsid w:val="0E3F0EC8"/>
    <w:rsid w:val="0E900694"/>
    <w:rsid w:val="0EE277C5"/>
    <w:rsid w:val="124B4BDA"/>
    <w:rsid w:val="12F26B4A"/>
    <w:rsid w:val="140E44E6"/>
    <w:rsid w:val="155B5882"/>
    <w:rsid w:val="158D17FE"/>
    <w:rsid w:val="15F10BBF"/>
    <w:rsid w:val="19F5739B"/>
    <w:rsid w:val="1A0D2BA4"/>
    <w:rsid w:val="1C641F16"/>
    <w:rsid w:val="1C9415E4"/>
    <w:rsid w:val="1D07503D"/>
    <w:rsid w:val="1D53421C"/>
    <w:rsid w:val="1DB53A12"/>
    <w:rsid w:val="1E700FE9"/>
    <w:rsid w:val="23AB7E4A"/>
    <w:rsid w:val="23B428FE"/>
    <w:rsid w:val="24164785"/>
    <w:rsid w:val="252736F0"/>
    <w:rsid w:val="28144385"/>
    <w:rsid w:val="295B7FC2"/>
    <w:rsid w:val="2A0C6A01"/>
    <w:rsid w:val="2C522C07"/>
    <w:rsid w:val="303F4E1E"/>
    <w:rsid w:val="3169141F"/>
    <w:rsid w:val="318554D4"/>
    <w:rsid w:val="31AA4933"/>
    <w:rsid w:val="32651C5C"/>
    <w:rsid w:val="32BF424A"/>
    <w:rsid w:val="3464481C"/>
    <w:rsid w:val="35180A2F"/>
    <w:rsid w:val="35410C99"/>
    <w:rsid w:val="35744E5F"/>
    <w:rsid w:val="36D53221"/>
    <w:rsid w:val="385439DA"/>
    <w:rsid w:val="38C85C6A"/>
    <w:rsid w:val="390E3661"/>
    <w:rsid w:val="39555100"/>
    <w:rsid w:val="3B0337BB"/>
    <w:rsid w:val="3BC96291"/>
    <w:rsid w:val="3D28438B"/>
    <w:rsid w:val="3FF01AE4"/>
    <w:rsid w:val="4174756B"/>
    <w:rsid w:val="42AF3177"/>
    <w:rsid w:val="44F36DB1"/>
    <w:rsid w:val="4656072B"/>
    <w:rsid w:val="474B6C89"/>
    <w:rsid w:val="48FE12AE"/>
    <w:rsid w:val="4A6A346B"/>
    <w:rsid w:val="4A780323"/>
    <w:rsid w:val="4B6114FB"/>
    <w:rsid w:val="4C5F31F8"/>
    <w:rsid w:val="4DFC4098"/>
    <w:rsid w:val="4FF239C3"/>
    <w:rsid w:val="51000D14"/>
    <w:rsid w:val="526F32AB"/>
    <w:rsid w:val="54E33B25"/>
    <w:rsid w:val="559B53C4"/>
    <w:rsid w:val="59924EAE"/>
    <w:rsid w:val="59F4146D"/>
    <w:rsid w:val="5D8C0551"/>
    <w:rsid w:val="5E2C0A8E"/>
    <w:rsid w:val="602958F5"/>
    <w:rsid w:val="60B026AD"/>
    <w:rsid w:val="61425F27"/>
    <w:rsid w:val="62A00243"/>
    <w:rsid w:val="634779B2"/>
    <w:rsid w:val="6532325E"/>
    <w:rsid w:val="667E4B82"/>
    <w:rsid w:val="6879156B"/>
    <w:rsid w:val="687C7694"/>
    <w:rsid w:val="6B5004BA"/>
    <w:rsid w:val="70065C07"/>
    <w:rsid w:val="704F39CC"/>
    <w:rsid w:val="73121A73"/>
    <w:rsid w:val="74881A30"/>
    <w:rsid w:val="75671AE1"/>
    <w:rsid w:val="76C7646C"/>
    <w:rsid w:val="76CB447B"/>
    <w:rsid w:val="78527849"/>
    <w:rsid w:val="7F736671"/>
    <w:rsid w:val="7FA54AB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uiPriority="99"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99"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semiHidden/>
    <w:unhideWhenUsed/>
    <w:uiPriority w:val="99"/>
    <w:pPr>
      <w:spacing w:before="0" w:beforeAutospacing="0" w:after="0" w:afterAutospacing="0"/>
      <w:ind w:left="0" w:right="0"/>
      <w:jc w:val="left"/>
    </w:pPr>
    <w:rPr>
      <w:rFonts w:hint="eastAsia" w:ascii="仿宋_GB2312" w:hAnsi="仿宋_GB2312" w:eastAsia="仿宋_GB2312" w:cs="仿宋_GB2312"/>
      <w:kern w:val="0"/>
      <w:sz w:val="24"/>
      <w:szCs w:val="24"/>
      <w:lang w:val="en-US" w:eastAsia="zh-CN" w:bidi="ar"/>
    </w:rPr>
  </w:style>
  <w:style w:type="paragraph" w:styleId="3">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4">
    <w:name w:val="heading 2"/>
    <w:basedOn w:val="1"/>
    <w:next w:val="1"/>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paragraph" w:styleId="5">
    <w:name w:val="heading 3"/>
    <w:basedOn w:val="1"/>
    <w:next w:val="1"/>
    <w:qFormat/>
    <w:uiPriority w:val="0"/>
    <w:pPr>
      <w:spacing w:before="0" w:beforeAutospacing="1" w:after="0" w:afterAutospacing="1"/>
      <w:jc w:val="left"/>
    </w:pPr>
    <w:rPr>
      <w:rFonts w:hint="eastAsia" w:ascii="宋体" w:hAnsi="宋体" w:eastAsia="宋体" w:cs="宋体"/>
      <w:b/>
      <w:kern w:val="0"/>
      <w:sz w:val="27"/>
      <w:szCs w:val="27"/>
      <w:lang w:val="en-US" w:eastAsia="zh-CN" w:bidi="ar"/>
    </w:rPr>
  </w:style>
  <w:style w:type="paragraph" w:styleId="6">
    <w:name w:val="heading 4"/>
    <w:basedOn w:val="1"/>
    <w:next w:val="1"/>
    <w:qFormat/>
    <w:uiPriority w:val="0"/>
    <w:pPr>
      <w:spacing w:before="0" w:beforeAutospacing="1" w:after="0" w:afterAutospacing="1"/>
      <w:jc w:val="left"/>
    </w:pPr>
    <w:rPr>
      <w:rFonts w:hint="eastAsia" w:ascii="宋体" w:hAnsi="宋体" w:eastAsia="宋体" w:cs="宋体"/>
      <w:b/>
      <w:kern w:val="0"/>
      <w:sz w:val="24"/>
      <w:szCs w:val="24"/>
      <w:lang w:val="en-US" w:eastAsia="zh-CN" w:bidi="ar"/>
    </w:rPr>
  </w:style>
  <w:style w:type="paragraph" w:styleId="7">
    <w:name w:val="heading 5"/>
    <w:basedOn w:val="1"/>
    <w:next w:val="1"/>
    <w:qFormat/>
    <w:uiPriority w:val="0"/>
    <w:pPr>
      <w:spacing w:before="0" w:beforeAutospacing="1" w:after="0" w:afterAutospacing="1"/>
      <w:jc w:val="left"/>
    </w:pPr>
    <w:rPr>
      <w:rFonts w:hint="eastAsia" w:ascii="宋体" w:hAnsi="宋体" w:eastAsia="宋体" w:cs="宋体"/>
      <w:b/>
      <w:kern w:val="0"/>
      <w:sz w:val="20"/>
      <w:szCs w:val="20"/>
      <w:lang w:val="en-US" w:eastAsia="zh-CN" w:bidi="ar"/>
    </w:rPr>
  </w:style>
  <w:style w:type="paragraph" w:styleId="8">
    <w:name w:val="heading 6"/>
    <w:basedOn w:val="1"/>
    <w:next w:val="1"/>
    <w:qFormat/>
    <w:uiPriority w:val="0"/>
    <w:pPr>
      <w:spacing w:before="0" w:beforeAutospacing="1" w:after="0" w:afterAutospacing="1"/>
      <w:jc w:val="left"/>
    </w:pPr>
    <w:rPr>
      <w:rFonts w:hint="eastAsia" w:ascii="宋体" w:hAnsi="宋体" w:eastAsia="宋体" w:cs="宋体"/>
      <w:b/>
      <w:kern w:val="0"/>
      <w:sz w:val="15"/>
      <w:szCs w:val="15"/>
      <w:lang w:val="en-US" w:eastAsia="zh-CN" w:bidi="ar"/>
    </w:rPr>
  </w:style>
  <w:style w:type="character" w:default="1" w:styleId="12">
    <w:name w:val="Default Paragraph Font"/>
    <w:semiHidden/>
    <w:unhideWhenUsed/>
    <w:qFormat/>
    <w:uiPriority w:val="99"/>
  </w:style>
  <w:style w:type="table" w:default="1" w:styleId="11">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1"/>
    <w:next w:val="1"/>
    <w:unhideWhenUsed/>
    <w:qFormat/>
    <w:uiPriority w:val="99"/>
    <w:pPr>
      <w:ind w:firstLine="420" w:firstLineChars="100"/>
    </w:pPr>
  </w:style>
  <w:style w:type="paragraph" w:styleId="9">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0">
    <w:name w:val="Normal (Web)"/>
    <w:basedOn w:val="1"/>
    <w:qFormat/>
    <w:uiPriority w:val="0"/>
    <w:pPr>
      <w:spacing w:before="0" w:beforeAutospacing="1" w:after="0" w:afterAutospacing="1"/>
      <w:ind w:left="0" w:right="0"/>
      <w:jc w:val="left"/>
    </w:pPr>
    <w:rPr>
      <w:rFonts w:hint="eastAsia" w:ascii="仿宋_GB2312" w:eastAsia="仿宋_GB2312" w:cs="仿宋_GB2312"/>
      <w:kern w:val="0"/>
      <w:sz w:val="24"/>
      <w:szCs w:val="24"/>
      <w:lang w:val="en-US" w:eastAsia="zh-CN" w:bidi="ar"/>
    </w:rPr>
  </w:style>
  <w:style w:type="character" w:styleId="13">
    <w:name w:val="Emphasis"/>
    <w:basedOn w:val="12"/>
    <w:qFormat/>
    <w:uiPriority w:val="0"/>
    <w:rPr>
      <w:i/>
    </w:rPr>
  </w:style>
  <w:style w:type="character" w:customStyle="1" w:styleId="14">
    <w:name w:val="10"/>
    <w:basedOn w:val="12"/>
    <w:qFormat/>
    <w:uiPriority w:val="0"/>
    <w:rPr>
      <w:rFonts w:hint="default" w:ascii="Times New Roman" w:hAnsi="Times New Roman" w:cs="Times New Roman"/>
    </w:rPr>
  </w:style>
  <w:style w:type="character" w:customStyle="1" w:styleId="15">
    <w:name w:val="15"/>
    <w:basedOn w:val="12"/>
    <w:qFormat/>
    <w:uiPriority w:val="0"/>
    <w:rPr>
      <w:rFonts w:hint="default" w:ascii="Times New Roman" w:hAnsi="Times New Roman" w:cs="Times New Roman"/>
      <w:i/>
    </w:rPr>
  </w:style>
  <w:style w:type="paragraph" w:customStyle="1" w:styleId="16">
    <w:name w:val="普通(网站) Char"/>
    <w:basedOn w:val="1"/>
    <w:qFormat/>
    <w:uiPriority w:val="0"/>
    <w:pPr>
      <w:spacing w:before="0" w:beforeAutospacing="1" w:after="0" w:afterAutospacing="1"/>
      <w:ind w:left="0" w:right="0"/>
      <w:jc w:val="left"/>
    </w:pPr>
    <w:rPr>
      <w:rFonts w:hint="eastAsia" w:ascii="仿宋_GB2312" w:eastAsia="仿宋_GB2312" w:cs="仿宋_GB2312"/>
      <w:kern w:val="0"/>
      <w:sz w:val="24"/>
      <w:szCs w:val="24"/>
      <w:lang w:val="en-US" w:eastAsia="zh-CN" w:bidi="ar"/>
    </w:rPr>
  </w:style>
  <w:style w:type="paragraph" w:customStyle="1" w:styleId="17">
    <w:name w:val="HTML 预设格式 Char"/>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left="0" w:right="0"/>
      <w:jc w:val="left"/>
    </w:pPr>
    <w:rPr>
      <w:rFonts w:hint="eastAsia" w:ascii="宋体" w:hAnsi="宋体" w:eastAsia="宋体" w:cs="宋体"/>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32</Pages>
  <Words>9388</Words>
  <Characters>10180</Characters>
  <Lines>1</Lines>
  <Paragraphs>1</Paragraphs>
  <TotalTime>7</TotalTime>
  <ScaleCrop>false</ScaleCrop>
  <LinksUpToDate>false</LinksUpToDate>
  <CharactersWithSpaces>10440</CharactersWithSpaces>
  <Application>WPS Office_11.1.0.12763_F1E327BC-269C-435d-A152-05C5408002CA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2020-09-16T09:36:00Z</dcterms:created>
  <dc:creator>HP</dc:creator>
  <cp:lastModifiedBy>EtoileGloire</cp:lastModifiedBy>
  <dcterms:modified xsi:type="dcterms:W3CDTF">2022-11-25T01:09:26Z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1710EFB8FD01447583603249F0444DF2</vt:lpwstr>
  </property>
</Properties>
</file>