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600" w:lineRule="exact"/>
        <w:jc w:val="both"/>
        <w:rPr>
          <w:rFonts w:hint="eastAsia"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附件：</w:t>
      </w:r>
    </w:p>
    <w:p>
      <w:pPr>
        <w:pStyle w:val="3"/>
        <w:widowControl w:val="0"/>
        <w:spacing w:before="0" w:beforeAutospacing="0" w:after="0" w:afterAutospacing="0" w:line="600" w:lineRule="exact"/>
        <w:jc w:val="center"/>
        <w:rPr>
          <w:rFonts w:hint="eastAsia" w:ascii="仿宋" w:hAnsi="仿宋" w:eastAsia="仿宋" w:cs="方正小标宋简体"/>
          <w:bCs/>
          <w:sz w:val="32"/>
          <w:szCs w:val="32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t>洪山区科经局2017年</w:t>
      </w:r>
    </w:p>
    <w:p>
      <w:pPr>
        <w:pStyle w:val="3"/>
        <w:widowControl w:val="0"/>
        <w:spacing w:before="0" w:beforeAutospacing="0" w:after="0" w:afterAutospacing="0" w:line="600" w:lineRule="exact"/>
        <w:jc w:val="center"/>
        <w:rPr>
          <w:rFonts w:hint="eastAsia" w:ascii="仿宋" w:hAnsi="仿宋" w:eastAsia="仿宋" w:cs="方正小标宋简体"/>
          <w:bCs/>
          <w:sz w:val="32"/>
          <w:szCs w:val="32"/>
        </w:rPr>
      </w:pPr>
      <w:r>
        <w:rPr>
          <w:rFonts w:hint="eastAsia" w:ascii="仿宋" w:hAnsi="仿宋" w:eastAsia="仿宋" w:cs="方正小标宋简体"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方正小标宋简体"/>
          <w:bCs/>
          <w:sz w:val="32"/>
          <w:szCs w:val="32"/>
        </w:rPr>
        <w:instrText xml:space="preserve"> HYPERLINK "http://www.hongshan.gov.cn/n1066/n1086/n1259/n1574/n2030470.files/n2030469.doc" \t "_blank" </w:instrText>
      </w:r>
      <w:r>
        <w:rPr>
          <w:rFonts w:hint="eastAsia" w:ascii="仿宋" w:hAnsi="仿宋" w:eastAsia="仿宋" w:cs="方正小标宋简体"/>
          <w:bCs/>
          <w:sz w:val="32"/>
          <w:szCs w:val="32"/>
        </w:rPr>
        <w:fldChar w:fldCharType="separate"/>
      </w:r>
      <w:r>
        <w:rPr>
          <w:rStyle w:val="5"/>
          <w:rFonts w:hint="eastAsia" w:ascii="仿宋" w:hAnsi="仿宋" w:eastAsia="仿宋" w:cs="方正小标宋简体"/>
          <w:bCs/>
          <w:sz w:val="32"/>
          <w:szCs w:val="32"/>
        </w:rPr>
        <w:t>人大议案代表建议承办工作分管领导责任科室一览表</w:t>
      </w:r>
      <w:r>
        <w:rPr>
          <w:rFonts w:hint="eastAsia" w:ascii="仿宋" w:hAnsi="仿宋" w:eastAsia="仿宋" w:cs="方正小标宋简体"/>
          <w:bCs/>
          <w:sz w:val="32"/>
          <w:szCs w:val="32"/>
        </w:rPr>
        <w:fldChar w:fldCharType="end"/>
      </w:r>
    </w:p>
    <w:p>
      <w:pPr>
        <w:pStyle w:val="3"/>
        <w:widowControl w:val="0"/>
        <w:spacing w:before="0" w:beforeAutospacing="0" w:after="0" w:afterAutospacing="0" w:line="600" w:lineRule="exact"/>
        <w:jc w:val="center"/>
        <w:rPr>
          <w:rFonts w:hint="eastAsia" w:ascii="仿宋" w:hAnsi="仿宋" w:eastAsia="仿宋" w:cs="方正小标宋简体"/>
          <w:b/>
          <w:sz w:val="32"/>
          <w:szCs w:val="32"/>
        </w:rPr>
      </w:pPr>
    </w:p>
    <w:tbl>
      <w:tblPr>
        <w:tblStyle w:val="6"/>
        <w:tblW w:w="14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3696"/>
        <w:gridCol w:w="6187"/>
        <w:gridCol w:w="1117"/>
        <w:gridCol w:w="2019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3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议题案名称</w:t>
            </w:r>
          </w:p>
        </w:tc>
        <w:tc>
          <w:tcPr>
            <w:tcW w:w="61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内容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分管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领导</w:t>
            </w:r>
          </w:p>
        </w:tc>
        <w:tc>
          <w:tcPr>
            <w:tcW w:w="20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责任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科室</w:t>
            </w:r>
          </w:p>
        </w:tc>
        <w:tc>
          <w:tcPr>
            <w:tcW w:w="6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黑体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69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代表建议3号</w:t>
            </w:r>
          </w:p>
        </w:tc>
        <w:tc>
          <w:tcPr>
            <w:tcW w:w="6187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“加快智能配网建设，促推电能替代，建设绿色生态洪山”的建议。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熊岳伟</w:t>
            </w:r>
          </w:p>
        </w:tc>
        <w:tc>
          <w:tcPr>
            <w:tcW w:w="20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能源电力科</w:t>
            </w:r>
          </w:p>
        </w:tc>
        <w:tc>
          <w:tcPr>
            <w:tcW w:w="6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69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代表建议18号</w:t>
            </w:r>
          </w:p>
        </w:tc>
        <w:tc>
          <w:tcPr>
            <w:tcW w:w="6187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关于加快我区新能源汽车充电设施建设的建议。”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熊岳伟</w:t>
            </w:r>
          </w:p>
        </w:tc>
        <w:tc>
          <w:tcPr>
            <w:tcW w:w="20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能源电力科</w:t>
            </w:r>
          </w:p>
        </w:tc>
        <w:tc>
          <w:tcPr>
            <w:tcW w:w="6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69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人大议案1号</w:t>
            </w:r>
          </w:p>
        </w:tc>
        <w:tc>
          <w:tcPr>
            <w:tcW w:w="6187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关于继续完善“大学之城总体规划”，加快实施“大学之城”建设的议案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黄婕</w:t>
            </w:r>
          </w:p>
        </w:tc>
        <w:tc>
          <w:tcPr>
            <w:tcW w:w="201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技术市场办</w:t>
            </w:r>
          </w:p>
        </w:tc>
        <w:tc>
          <w:tcPr>
            <w:tcW w:w="6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协办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5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69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重点建议3号</w:t>
            </w:r>
          </w:p>
        </w:tc>
        <w:tc>
          <w:tcPr>
            <w:tcW w:w="6187" w:type="dxa"/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关于进一步加快区医疗卫生基础设施建设，推进省医养康复中心项目和扩建区中医医院的建议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熊岳伟</w:t>
            </w:r>
          </w:p>
        </w:tc>
        <w:tc>
          <w:tcPr>
            <w:tcW w:w="20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能源电力科</w:t>
            </w:r>
          </w:p>
        </w:tc>
        <w:tc>
          <w:tcPr>
            <w:tcW w:w="6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协办</w:t>
            </w:r>
          </w:p>
        </w:tc>
      </w:tr>
    </w:tbl>
    <w:p>
      <w:pPr>
        <w:pStyle w:val="3"/>
        <w:spacing w:line="42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even"/>
      <w:pgSz w:w="16838" w:h="11906" w:orient="landscape"/>
      <w:pgMar w:top="1531" w:right="2211" w:bottom="1531" w:left="1871" w:header="851" w:footer="992" w:gutter="0"/>
      <w:pgNumType w:start="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0DEF"/>
    <w:rsid w:val="1A900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2017-12-27T03:07:00Z</dcterms:created>
  <dc:creator>Administrator</dc:creator>
  <cp:lastModifiedBy>Administrator</cp:lastModifiedBy>
  <dcterms:modified xsi:type="dcterms:W3CDTF">2017-12-27T03:08:11Z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