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798" w:tblpY="285"/>
        <w:tblOverlap w:val="never"/>
        <w:tblW w:w="9045" w:type="dxa"/>
        <w:tblInd w:w="0" w:type="dxa"/>
        <w:tblLayout w:type="fixed"/>
        <w:tblCellMar>
          <w:top w:w="0" w:type="dxa"/>
          <w:left w:w="0" w:type="dxa"/>
          <w:bottom w:w="0" w:type="dxa"/>
          <w:right w:w="0" w:type="dxa"/>
        </w:tblCellMar>
      </w:tblPr>
      <w:tblGrid>
        <w:gridCol w:w="1080"/>
        <w:gridCol w:w="1080"/>
        <w:gridCol w:w="1080"/>
        <w:gridCol w:w="2190"/>
        <w:gridCol w:w="1020"/>
        <w:gridCol w:w="1719"/>
        <w:gridCol w:w="876"/>
      </w:tblGrid>
      <w:tr>
        <w:tblPrEx>
          <w:tblCellMar>
            <w:top w:w="0" w:type="dxa"/>
            <w:left w:w="0" w:type="dxa"/>
            <w:bottom w:w="0" w:type="dxa"/>
            <w:right w:w="0" w:type="dxa"/>
          </w:tblCellMar>
        </w:tblPrEx>
        <w:trPr>
          <w:trHeight w:val="405" w:hRule="atLeast"/>
        </w:trPr>
        <w:tc>
          <w:tcPr>
            <w:tcW w:w="9045" w:type="dxa"/>
            <w:gridSpan w:val="7"/>
            <w:tcBorders>
              <w:top w:val="nil"/>
              <w:left w:val="nil"/>
              <w:bottom w:val="nil"/>
              <w:right w:val="nil"/>
            </w:tcBorders>
            <w:shd w:val="clear" w:color="auto" w:fill="auto"/>
            <w:tcMar>
              <w:top w:w="15" w:type="dxa"/>
              <w:left w:w="15" w:type="dxa"/>
              <w:right w:w="15" w:type="dxa"/>
            </w:tcMar>
            <w:vAlign w:val="bottom"/>
          </w:tcPr>
          <w:p>
            <w:pPr>
              <w:widowControl/>
              <w:jc w:val="center"/>
              <w:textAlignment w:val="bottom"/>
              <w:rPr>
                <w:rFonts w:ascii="宋体" w:hAnsi="宋体" w:cs="宋体"/>
                <w:color w:val="000000"/>
                <w:sz w:val="32"/>
                <w:szCs w:val="32"/>
              </w:rPr>
            </w:pPr>
            <w:r>
              <w:rPr>
                <w:rFonts w:hint="eastAsia" w:ascii="宋体" w:hAnsi="宋体" w:cs="宋体"/>
                <w:color w:val="000000"/>
                <w:kern w:val="0"/>
                <w:sz w:val="32"/>
                <w:szCs w:val="32"/>
                <w:lang w:bidi="ar"/>
              </w:rPr>
              <w:t>201</w:t>
            </w:r>
            <w:r>
              <w:rPr>
                <w:rFonts w:ascii="宋体" w:hAnsi="宋体" w:cs="宋体"/>
                <w:color w:val="000000"/>
                <w:kern w:val="0"/>
                <w:sz w:val="32"/>
                <w:szCs w:val="32"/>
                <w:lang w:bidi="ar"/>
              </w:rPr>
              <w:t>9</w:t>
            </w:r>
            <w:r>
              <w:rPr>
                <w:rFonts w:hint="eastAsia" w:ascii="宋体" w:hAnsi="宋体" w:cs="宋体"/>
                <w:color w:val="000000"/>
                <w:kern w:val="0"/>
                <w:sz w:val="32"/>
                <w:szCs w:val="32"/>
                <w:lang w:bidi="ar"/>
              </w:rPr>
              <w:t>年洪山区教育局部门项目绩效自评表</w:t>
            </w:r>
          </w:p>
        </w:tc>
      </w:tr>
      <w:tr>
        <w:tblPrEx>
          <w:tblCellMar>
            <w:top w:w="0" w:type="dxa"/>
            <w:left w:w="0" w:type="dxa"/>
            <w:bottom w:w="0" w:type="dxa"/>
            <w:right w:w="0" w:type="dxa"/>
          </w:tblCellMar>
        </w:tblPrEx>
        <w:trPr>
          <w:trHeight w:val="300" w:hRule="atLeast"/>
        </w:trPr>
        <w:tc>
          <w:tcPr>
            <w:tcW w:w="1080" w:type="dxa"/>
            <w:tcBorders>
              <w:top w:val="nil"/>
              <w:left w:val="nil"/>
              <w:bottom w:val="nil"/>
              <w:right w:val="nil"/>
            </w:tcBorders>
            <w:shd w:val="clear" w:color="auto" w:fill="auto"/>
            <w:tcMar>
              <w:top w:w="15" w:type="dxa"/>
              <w:left w:w="15" w:type="dxa"/>
              <w:right w:w="15" w:type="dxa"/>
            </w:tcMar>
            <w:vAlign w:val="bottom"/>
          </w:tcPr>
          <w:p>
            <w:pPr>
              <w:rPr>
                <w:rFonts w:ascii="Tahoma" w:hAnsi="Tahoma" w:eastAsia="Tahoma" w:cs="Tahoma"/>
                <w:color w:val="000000"/>
                <w:sz w:val="24"/>
              </w:rPr>
            </w:pPr>
          </w:p>
        </w:tc>
        <w:tc>
          <w:tcPr>
            <w:tcW w:w="1080" w:type="dxa"/>
            <w:tcBorders>
              <w:top w:val="nil"/>
              <w:left w:val="nil"/>
              <w:bottom w:val="nil"/>
              <w:right w:val="nil"/>
            </w:tcBorders>
            <w:shd w:val="clear" w:color="auto" w:fill="auto"/>
            <w:tcMar>
              <w:top w:w="15" w:type="dxa"/>
              <w:left w:w="15" w:type="dxa"/>
              <w:right w:w="15" w:type="dxa"/>
            </w:tcMar>
            <w:vAlign w:val="bottom"/>
          </w:tcPr>
          <w:p>
            <w:pPr>
              <w:rPr>
                <w:rFonts w:ascii="Tahoma" w:hAnsi="Tahoma" w:eastAsia="Tahoma" w:cs="Tahoma"/>
                <w:color w:val="000000"/>
                <w:sz w:val="24"/>
              </w:rPr>
            </w:pPr>
          </w:p>
        </w:tc>
        <w:tc>
          <w:tcPr>
            <w:tcW w:w="1080" w:type="dxa"/>
            <w:tcBorders>
              <w:top w:val="nil"/>
              <w:left w:val="nil"/>
              <w:bottom w:val="nil"/>
              <w:right w:val="nil"/>
            </w:tcBorders>
            <w:shd w:val="clear" w:color="auto" w:fill="auto"/>
            <w:tcMar>
              <w:top w:w="15" w:type="dxa"/>
              <w:left w:w="15" w:type="dxa"/>
              <w:right w:w="15" w:type="dxa"/>
            </w:tcMar>
            <w:vAlign w:val="bottom"/>
          </w:tcPr>
          <w:p>
            <w:pPr>
              <w:rPr>
                <w:rFonts w:ascii="Tahoma" w:hAnsi="Tahoma" w:eastAsia="Tahoma" w:cs="Tahoma"/>
                <w:color w:val="000000"/>
                <w:sz w:val="24"/>
              </w:rPr>
            </w:pPr>
          </w:p>
        </w:tc>
        <w:tc>
          <w:tcPr>
            <w:tcW w:w="2190" w:type="dxa"/>
            <w:tcBorders>
              <w:top w:val="nil"/>
              <w:left w:val="nil"/>
              <w:bottom w:val="nil"/>
              <w:right w:val="nil"/>
            </w:tcBorders>
            <w:shd w:val="clear" w:color="auto" w:fill="auto"/>
            <w:tcMar>
              <w:top w:w="15" w:type="dxa"/>
              <w:left w:w="15" w:type="dxa"/>
              <w:right w:w="15" w:type="dxa"/>
            </w:tcMar>
            <w:vAlign w:val="bottom"/>
          </w:tcPr>
          <w:p>
            <w:pPr>
              <w:rPr>
                <w:rFonts w:ascii="Tahoma" w:hAnsi="Tahoma" w:eastAsia="Tahoma" w:cs="Tahoma"/>
                <w:color w:val="000000"/>
                <w:sz w:val="24"/>
              </w:rPr>
            </w:pPr>
          </w:p>
        </w:tc>
        <w:tc>
          <w:tcPr>
            <w:tcW w:w="1020" w:type="dxa"/>
            <w:tcBorders>
              <w:top w:val="nil"/>
              <w:left w:val="nil"/>
              <w:bottom w:val="nil"/>
              <w:right w:val="nil"/>
            </w:tcBorders>
            <w:shd w:val="clear" w:color="auto" w:fill="auto"/>
            <w:tcMar>
              <w:top w:w="15" w:type="dxa"/>
              <w:left w:w="15" w:type="dxa"/>
              <w:right w:w="15" w:type="dxa"/>
            </w:tcMar>
            <w:vAlign w:val="bottom"/>
          </w:tcPr>
          <w:p>
            <w:pPr>
              <w:rPr>
                <w:rFonts w:ascii="Tahoma" w:hAnsi="Tahoma" w:eastAsia="Tahoma" w:cs="Tahoma"/>
                <w:color w:val="000000"/>
                <w:sz w:val="24"/>
              </w:rPr>
            </w:pPr>
          </w:p>
        </w:tc>
        <w:tc>
          <w:tcPr>
            <w:tcW w:w="1719" w:type="dxa"/>
            <w:tcBorders>
              <w:top w:val="nil"/>
              <w:left w:val="nil"/>
              <w:bottom w:val="nil"/>
              <w:right w:val="nil"/>
            </w:tcBorders>
            <w:shd w:val="clear" w:color="auto" w:fill="auto"/>
            <w:tcMar>
              <w:top w:w="15" w:type="dxa"/>
              <w:left w:w="15" w:type="dxa"/>
              <w:right w:w="15" w:type="dxa"/>
            </w:tcMar>
            <w:vAlign w:val="bottom"/>
          </w:tcPr>
          <w:p>
            <w:pPr>
              <w:rPr>
                <w:rFonts w:ascii="Tahoma" w:hAnsi="Tahoma" w:eastAsia="Tahoma" w:cs="Tahoma"/>
                <w:color w:val="000000"/>
                <w:sz w:val="24"/>
              </w:rPr>
            </w:pPr>
          </w:p>
        </w:tc>
        <w:tc>
          <w:tcPr>
            <w:tcW w:w="876" w:type="dxa"/>
            <w:tcBorders>
              <w:top w:val="nil"/>
              <w:left w:val="nil"/>
              <w:bottom w:val="nil"/>
              <w:right w:val="nil"/>
            </w:tcBorders>
            <w:shd w:val="clear" w:color="auto" w:fill="auto"/>
            <w:tcMar>
              <w:top w:w="15" w:type="dxa"/>
              <w:left w:w="15" w:type="dxa"/>
              <w:right w:w="15" w:type="dxa"/>
            </w:tcMar>
            <w:vAlign w:val="bottom"/>
          </w:tcPr>
          <w:p>
            <w:pPr>
              <w:rPr>
                <w:rFonts w:ascii="Tahoma" w:hAnsi="Tahoma" w:cs="Tahoma"/>
                <w:color w:val="000000"/>
                <w:sz w:val="24"/>
              </w:rPr>
            </w:pPr>
          </w:p>
        </w:tc>
      </w:tr>
      <w:tr>
        <w:tblPrEx>
          <w:tblCellMar>
            <w:top w:w="0" w:type="dxa"/>
            <w:left w:w="0" w:type="dxa"/>
            <w:bottom w:w="0" w:type="dxa"/>
            <w:right w:w="0"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项目名称</w:t>
            </w:r>
          </w:p>
        </w:tc>
        <w:tc>
          <w:tcPr>
            <w:tcW w:w="79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学生资助专项</w:t>
            </w:r>
          </w:p>
        </w:tc>
      </w:tr>
      <w:tr>
        <w:tblPrEx>
          <w:tblCellMar>
            <w:top w:w="0" w:type="dxa"/>
            <w:left w:w="0" w:type="dxa"/>
            <w:bottom w:w="0" w:type="dxa"/>
            <w:right w:w="0" w:type="dxa"/>
          </w:tblCellMar>
        </w:tblPrEx>
        <w:trPr>
          <w:trHeight w:val="73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项目主管部门</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洪山区教育局</w:t>
            </w: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项目执行单位</w:t>
            </w:r>
          </w:p>
        </w:tc>
        <w:tc>
          <w:tcPr>
            <w:tcW w:w="36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学生资助管理中心</w:t>
            </w:r>
          </w:p>
        </w:tc>
      </w:tr>
      <w:tr>
        <w:tblPrEx>
          <w:tblCellMar>
            <w:top w:w="0" w:type="dxa"/>
            <w:left w:w="0" w:type="dxa"/>
            <w:bottom w:w="0" w:type="dxa"/>
            <w:right w:w="0" w:type="dxa"/>
          </w:tblCellMar>
        </w:tblPrEx>
        <w:trPr>
          <w:trHeight w:val="3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项目资金来源</w:t>
            </w: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资金来源项目</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预算数</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执行数</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执行率</w:t>
            </w:r>
          </w:p>
        </w:tc>
      </w:tr>
      <w:tr>
        <w:tblPrEx>
          <w:tblCellMar>
            <w:top w:w="0" w:type="dxa"/>
            <w:left w:w="0" w:type="dxa"/>
            <w:bottom w:w="0" w:type="dxa"/>
            <w:right w:w="0"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财政拨款收入</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kern w:val="0"/>
                <w:sz w:val="24"/>
              </w:rPr>
              <w:t>461</w:t>
            </w:r>
            <w:r>
              <w:rPr>
                <w:rFonts w:hint="eastAsia" w:ascii="宋体" w:hAnsi="宋体" w:cs="宋体"/>
                <w:color w:val="000000"/>
                <w:kern w:val="0"/>
                <w:sz w:val="24"/>
              </w:rPr>
              <w:t>万元</w:t>
            </w:r>
          </w:p>
        </w:tc>
        <w:tc>
          <w:tcPr>
            <w:tcW w:w="17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460.27</w:t>
            </w:r>
          </w:p>
        </w:tc>
        <w:tc>
          <w:tcPr>
            <w:tcW w:w="8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99.84 %</w:t>
            </w:r>
          </w:p>
        </w:tc>
      </w:tr>
      <w:tr>
        <w:tblPrEx>
          <w:tblCellMar>
            <w:top w:w="0" w:type="dxa"/>
            <w:left w:w="0" w:type="dxa"/>
            <w:bottom w:w="0" w:type="dxa"/>
            <w:right w:w="0" w:type="dxa"/>
          </w:tblCellMar>
        </w:tblPrEx>
        <w:trPr>
          <w:trHeight w:val="394" w:hRule="atLeast"/>
        </w:trPr>
        <w:tc>
          <w:tcPr>
            <w:tcW w:w="108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项目绩效年度目标</w:t>
            </w:r>
          </w:p>
          <w:p>
            <w:pPr>
              <w:jc w:val="center"/>
              <w:rPr>
                <w:rFonts w:ascii="宋体" w:hAnsi="宋体" w:cs="宋体"/>
                <w:color w:val="000000"/>
                <w:sz w:val="24"/>
              </w:rPr>
            </w:pPr>
          </w:p>
        </w:tc>
        <w:tc>
          <w:tcPr>
            <w:tcW w:w="79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年度目标设定情况</w:t>
            </w:r>
          </w:p>
        </w:tc>
      </w:tr>
      <w:tr>
        <w:tblPrEx>
          <w:tblCellMar>
            <w:top w:w="0" w:type="dxa"/>
            <w:left w:w="0" w:type="dxa"/>
            <w:bottom w:w="0" w:type="dxa"/>
            <w:right w:w="0" w:type="dxa"/>
          </w:tblCellMar>
        </w:tblPrEx>
        <w:trPr>
          <w:trHeight w:val="1762"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79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360" w:firstLineChars="150"/>
              <w:jc w:val="left"/>
              <w:textAlignment w:val="center"/>
              <w:rPr>
                <w:rFonts w:ascii="宋体" w:hAnsi="宋体" w:cs="宋体"/>
                <w:color w:val="000000"/>
                <w:sz w:val="24"/>
              </w:rPr>
            </w:pPr>
            <w:r>
              <w:rPr>
                <w:rFonts w:hint="eastAsia" w:ascii="宋体" w:hAnsi="宋体" w:cs="宋体"/>
                <w:color w:val="000000"/>
                <w:sz w:val="24"/>
              </w:rPr>
              <w:t>落实各学段家庭经济困难学生的资助项目，把党和政府的惠民政策落实到每一位需要资助的学生身上，确保无一名学生因贫困而失学。</w:t>
            </w:r>
          </w:p>
          <w:p>
            <w:pPr>
              <w:widowControl/>
              <w:ind w:firstLine="360" w:firstLineChars="150"/>
              <w:jc w:val="left"/>
              <w:textAlignment w:val="center"/>
              <w:rPr>
                <w:rFonts w:ascii="宋体" w:hAnsi="宋体" w:cs="宋体"/>
                <w:color w:val="000000"/>
                <w:sz w:val="24"/>
              </w:rPr>
            </w:pPr>
          </w:p>
        </w:tc>
      </w:tr>
      <w:tr>
        <w:tblPrEx>
          <w:tblCellMar>
            <w:top w:w="0" w:type="dxa"/>
            <w:left w:w="0" w:type="dxa"/>
            <w:bottom w:w="0" w:type="dxa"/>
            <w:right w:w="0" w:type="dxa"/>
          </w:tblCellMar>
        </w:tblPrEx>
        <w:trPr>
          <w:trHeight w:val="487"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79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r>
      <w:tr>
        <w:tblPrEx>
          <w:tblCellMar>
            <w:top w:w="0" w:type="dxa"/>
            <w:left w:w="0" w:type="dxa"/>
            <w:bottom w:w="0" w:type="dxa"/>
            <w:right w:w="0" w:type="dxa"/>
          </w:tblCellMar>
        </w:tblPrEx>
        <w:trPr>
          <w:trHeight w:val="1695"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79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360" w:firstLineChars="150"/>
              <w:jc w:val="left"/>
              <w:textAlignment w:val="center"/>
              <w:rPr>
                <w:rFonts w:ascii="宋体" w:hAnsi="宋体" w:cs="宋体"/>
                <w:color w:val="000000"/>
                <w:sz w:val="24"/>
              </w:rPr>
            </w:pPr>
            <w:r>
              <w:rPr>
                <w:rFonts w:hint="eastAsia" w:ascii="宋体" w:hAnsi="宋体" w:cs="宋体"/>
                <w:color w:val="000000"/>
                <w:sz w:val="24"/>
              </w:rPr>
              <w:t>完成了年度绩效目标，所有符合资助政策的学生都得到了资助，做到了应助尽助，没有一名学生因贫困而失学。</w:t>
            </w:r>
          </w:p>
        </w:tc>
      </w:tr>
      <w:tr>
        <w:tblPrEx>
          <w:tblCellMar>
            <w:top w:w="0" w:type="dxa"/>
            <w:left w:w="0" w:type="dxa"/>
            <w:bottom w:w="0" w:type="dxa"/>
            <w:right w:w="0" w:type="dxa"/>
          </w:tblCellMar>
        </w:tblPrEx>
        <w:trPr>
          <w:trHeight w:val="468"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79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绩效成效</w:t>
            </w:r>
          </w:p>
        </w:tc>
      </w:tr>
      <w:tr>
        <w:tblPrEx>
          <w:tblCellMar>
            <w:top w:w="0" w:type="dxa"/>
            <w:left w:w="0" w:type="dxa"/>
            <w:bottom w:w="0" w:type="dxa"/>
            <w:right w:w="0" w:type="dxa"/>
          </w:tblCellMar>
        </w:tblPrEx>
        <w:trPr>
          <w:trHeight w:val="1752"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79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10"/>
              <w:widowControl/>
              <w:numPr>
                <w:ilvl w:val="0"/>
                <w:numId w:val="1"/>
              </w:numPr>
              <w:ind w:firstLineChars="0"/>
              <w:jc w:val="left"/>
              <w:textAlignment w:val="center"/>
              <w:rPr>
                <w:rFonts w:ascii="宋体" w:hAnsi="宋体" w:cs="宋体"/>
                <w:color w:val="000000"/>
                <w:sz w:val="24"/>
              </w:rPr>
            </w:pPr>
            <w:r>
              <w:rPr>
                <w:rFonts w:hint="eastAsia" w:ascii="宋体" w:hAnsi="宋体" w:cs="宋体"/>
                <w:color w:val="000000"/>
                <w:sz w:val="24"/>
              </w:rPr>
              <w:t>全年资助学生9133人次，资助政策落实到每一位需要资助的学生。</w:t>
            </w:r>
          </w:p>
          <w:p>
            <w:pPr>
              <w:pStyle w:val="10"/>
              <w:widowControl/>
              <w:numPr>
                <w:ilvl w:val="0"/>
                <w:numId w:val="1"/>
              </w:numPr>
              <w:ind w:firstLineChars="0"/>
              <w:jc w:val="left"/>
              <w:textAlignment w:val="center"/>
              <w:rPr>
                <w:rFonts w:ascii="宋体" w:hAnsi="宋体" w:cs="宋体"/>
                <w:color w:val="000000"/>
                <w:sz w:val="24"/>
              </w:rPr>
            </w:pPr>
            <w:r>
              <w:rPr>
                <w:rFonts w:hint="eastAsia" w:ascii="宋体" w:hAnsi="宋体" w:cs="宋体"/>
                <w:color w:val="000000"/>
                <w:sz w:val="24"/>
              </w:rPr>
              <w:t>我中心资助管理工作投诉率为0，资助管理工作得到学校和家长的认可。</w:t>
            </w:r>
          </w:p>
        </w:tc>
      </w:tr>
      <w:tr>
        <w:tblPrEx>
          <w:tblCellMar>
            <w:top w:w="0" w:type="dxa"/>
            <w:left w:w="0" w:type="dxa"/>
            <w:bottom w:w="0" w:type="dxa"/>
            <w:right w:w="0" w:type="dxa"/>
          </w:tblCellMar>
        </w:tblPrEx>
        <w:trPr>
          <w:trHeight w:val="414"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79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发现的问题及原因</w:t>
            </w:r>
          </w:p>
        </w:tc>
      </w:tr>
      <w:tr>
        <w:tblPrEx>
          <w:tblCellMar>
            <w:top w:w="0" w:type="dxa"/>
            <w:left w:w="0" w:type="dxa"/>
            <w:bottom w:w="0" w:type="dxa"/>
            <w:right w:w="0" w:type="dxa"/>
          </w:tblCellMar>
        </w:tblPrEx>
        <w:trPr>
          <w:trHeight w:val="2038"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79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4"/>
                <w:lang w:bidi="ar"/>
              </w:rPr>
            </w:pPr>
          </w:p>
        </w:tc>
      </w:tr>
      <w:tr>
        <w:tblPrEx>
          <w:tblCellMar>
            <w:top w:w="0" w:type="dxa"/>
            <w:left w:w="0" w:type="dxa"/>
            <w:bottom w:w="0" w:type="dxa"/>
            <w:right w:w="0" w:type="dxa"/>
          </w:tblCellMar>
        </w:tblPrEx>
        <w:trPr>
          <w:trHeight w:val="394"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79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加强预算绩效管理的建议</w:t>
            </w:r>
          </w:p>
        </w:tc>
      </w:tr>
      <w:tr>
        <w:tblPrEx>
          <w:tblCellMar>
            <w:top w:w="0" w:type="dxa"/>
            <w:left w:w="0" w:type="dxa"/>
            <w:bottom w:w="0" w:type="dxa"/>
            <w:right w:w="0" w:type="dxa"/>
          </w:tblCellMar>
        </w:tblPrEx>
        <w:trPr>
          <w:trHeight w:val="1882" w:hRule="atLeast"/>
        </w:trPr>
        <w:tc>
          <w:tcPr>
            <w:tcW w:w="108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79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4"/>
                <w:lang w:bidi="ar"/>
              </w:rPr>
            </w:pPr>
          </w:p>
        </w:tc>
      </w:tr>
    </w:tbl>
    <w:p>
      <w:pPr>
        <w:rPr>
          <w:sz w:val="24"/>
        </w:rPr>
      </w:pPr>
    </w:p>
    <w:p/>
    <w:tbl>
      <w:tblPr>
        <w:tblStyle w:val="5"/>
        <w:tblpPr w:leftFromText="180" w:rightFromText="180" w:vertAnchor="text" w:horzAnchor="page" w:tblpX="1798" w:tblpY="285"/>
        <w:tblOverlap w:val="never"/>
        <w:tblW w:w="9045" w:type="dxa"/>
        <w:tblInd w:w="0" w:type="dxa"/>
        <w:tblLayout w:type="fixed"/>
        <w:tblCellMar>
          <w:top w:w="0" w:type="dxa"/>
          <w:left w:w="0" w:type="dxa"/>
          <w:bottom w:w="0" w:type="dxa"/>
          <w:right w:w="0" w:type="dxa"/>
        </w:tblCellMar>
      </w:tblPr>
      <w:tblGrid>
        <w:gridCol w:w="1080"/>
        <w:gridCol w:w="1080"/>
        <w:gridCol w:w="1080"/>
        <w:gridCol w:w="2190"/>
        <w:gridCol w:w="1020"/>
        <w:gridCol w:w="1800"/>
        <w:gridCol w:w="795"/>
      </w:tblGrid>
      <w:tr>
        <w:tblPrEx>
          <w:tblCellMar>
            <w:top w:w="0" w:type="dxa"/>
            <w:left w:w="0" w:type="dxa"/>
            <w:bottom w:w="0" w:type="dxa"/>
            <w:right w:w="0" w:type="dxa"/>
          </w:tblCellMar>
        </w:tblPrEx>
        <w:trPr>
          <w:trHeight w:val="405" w:hRule="atLeast"/>
        </w:trPr>
        <w:tc>
          <w:tcPr>
            <w:tcW w:w="9045" w:type="dxa"/>
            <w:gridSpan w:val="7"/>
            <w:tcBorders>
              <w:top w:val="nil"/>
              <w:left w:val="nil"/>
              <w:bottom w:val="nil"/>
              <w:right w:val="nil"/>
            </w:tcBorders>
            <w:shd w:val="clear" w:color="auto" w:fill="auto"/>
            <w:tcMar>
              <w:top w:w="15" w:type="dxa"/>
              <w:left w:w="15" w:type="dxa"/>
              <w:right w:w="15" w:type="dxa"/>
            </w:tcMar>
            <w:vAlign w:val="bottom"/>
          </w:tcPr>
          <w:p>
            <w:pPr>
              <w:widowControl/>
              <w:jc w:val="center"/>
              <w:textAlignment w:val="bottom"/>
              <w:rPr>
                <w:rFonts w:ascii="宋体" w:hAnsi="宋体" w:cs="宋体"/>
                <w:color w:val="000000"/>
                <w:sz w:val="32"/>
                <w:szCs w:val="32"/>
              </w:rPr>
            </w:pPr>
            <w:r>
              <w:rPr>
                <w:rFonts w:hint="eastAsia" w:ascii="宋体" w:hAnsi="宋体" w:cs="宋体"/>
                <w:color w:val="000000"/>
                <w:kern w:val="0"/>
                <w:sz w:val="32"/>
                <w:szCs w:val="32"/>
                <w:lang w:bidi="ar"/>
              </w:rPr>
              <w:t>2019年洪山区教育局部门项目绩效自评表</w:t>
            </w:r>
          </w:p>
        </w:tc>
      </w:tr>
      <w:tr>
        <w:tblPrEx>
          <w:tblCellMar>
            <w:top w:w="0" w:type="dxa"/>
            <w:left w:w="0" w:type="dxa"/>
            <w:bottom w:w="0" w:type="dxa"/>
            <w:right w:w="0" w:type="dxa"/>
          </w:tblCellMar>
        </w:tblPrEx>
        <w:trPr>
          <w:trHeight w:val="300" w:hRule="atLeast"/>
        </w:trPr>
        <w:tc>
          <w:tcPr>
            <w:tcW w:w="1080" w:type="dxa"/>
            <w:tcBorders>
              <w:top w:val="nil"/>
              <w:left w:val="nil"/>
              <w:bottom w:val="nil"/>
              <w:right w:val="nil"/>
            </w:tcBorders>
            <w:shd w:val="clear" w:color="auto" w:fill="auto"/>
            <w:tcMar>
              <w:top w:w="15" w:type="dxa"/>
              <w:left w:w="15" w:type="dxa"/>
              <w:right w:w="15" w:type="dxa"/>
            </w:tcMar>
            <w:vAlign w:val="bottom"/>
          </w:tcPr>
          <w:p>
            <w:pPr>
              <w:rPr>
                <w:rFonts w:ascii="Tahoma" w:hAnsi="Tahoma" w:eastAsia="Tahoma" w:cs="Tahoma"/>
                <w:color w:val="000000"/>
                <w:sz w:val="24"/>
              </w:rPr>
            </w:pPr>
          </w:p>
        </w:tc>
        <w:tc>
          <w:tcPr>
            <w:tcW w:w="1080" w:type="dxa"/>
            <w:tcBorders>
              <w:top w:val="nil"/>
              <w:left w:val="nil"/>
              <w:bottom w:val="nil"/>
              <w:right w:val="nil"/>
            </w:tcBorders>
            <w:shd w:val="clear" w:color="auto" w:fill="auto"/>
            <w:tcMar>
              <w:top w:w="15" w:type="dxa"/>
              <w:left w:w="15" w:type="dxa"/>
              <w:right w:w="15" w:type="dxa"/>
            </w:tcMar>
            <w:vAlign w:val="bottom"/>
          </w:tcPr>
          <w:p>
            <w:pPr>
              <w:rPr>
                <w:rFonts w:ascii="Tahoma" w:hAnsi="Tahoma" w:eastAsia="Tahoma" w:cs="Tahoma"/>
                <w:color w:val="000000"/>
                <w:sz w:val="24"/>
              </w:rPr>
            </w:pPr>
          </w:p>
        </w:tc>
        <w:tc>
          <w:tcPr>
            <w:tcW w:w="1080" w:type="dxa"/>
            <w:tcBorders>
              <w:top w:val="nil"/>
              <w:left w:val="nil"/>
              <w:bottom w:val="nil"/>
              <w:right w:val="nil"/>
            </w:tcBorders>
            <w:shd w:val="clear" w:color="auto" w:fill="auto"/>
            <w:tcMar>
              <w:top w:w="15" w:type="dxa"/>
              <w:left w:w="15" w:type="dxa"/>
              <w:right w:w="15" w:type="dxa"/>
            </w:tcMar>
            <w:vAlign w:val="bottom"/>
          </w:tcPr>
          <w:p>
            <w:pPr>
              <w:rPr>
                <w:rFonts w:ascii="Tahoma" w:hAnsi="Tahoma" w:eastAsia="Tahoma" w:cs="Tahoma"/>
                <w:color w:val="000000"/>
                <w:sz w:val="24"/>
              </w:rPr>
            </w:pPr>
          </w:p>
        </w:tc>
        <w:tc>
          <w:tcPr>
            <w:tcW w:w="2190" w:type="dxa"/>
            <w:tcBorders>
              <w:top w:val="nil"/>
              <w:left w:val="nil"/>
              <w:bottom w:val="nil"/>
              <w:right w:val="nil"/>
            </w:tcBorders>
            <w:shd w:val="clear" w:color="auto" w:fill="auto"/>
            <w:tcMar>
              <w:top w:w="15" w:type="dxa"/>
              <w:left w:w="15" w:type="dxa"/>
              <w:right w:w="15" w:type="dxa"/>
            </w:tcMar>
            <w:vAlign w:val="bottom"/>
          </w:tcPr>
          <w:p>
            <w:pPr>
              <w:rPr>
                <w:rFonts w:ascii="Tahoma" w:hAnsi="Tahoma" w:eastAsia="Tahoma" w:cs="Tahoma"/>
                <w:color w:val="000000"/>
                <w:sz w:val="24"/>
              </w:rPr>
            </w:pPr>
          </w:p>
        </w:tc>
        <w:tc>
          <w:tcPr>
            <w:tcW w:w="1020" w:type="dxa"/>
            <w:tcBorders>
              <w:top w:val="nil"/>
              <w:left w:val="nil"/>
              <w:bottom w:val="nil"/>
              <w:right w:val="nil"/>
            </w:tcBorders>
            <w:shd w:val="clear" w:color="auto" w:fill="auto"/>
            <w:tcMar>
              <w:top w:w="15" w:type="dxa"/>
              <w:left w:w="15" w:type="dxa"/>
              <w:right w:w="15" w:type="dxa"/>
            </w:tcMar>
            <w:vAlign w:val="bottom"/>
          </w:tcPr>
          <w:p>
            <w:pPr>
              <w:rPr>
                <w:rFonts w:ascii="Tahoma" w:hAnsi="Tahoma" w:eastAsia="Tahoma" w:cs="Tahoma"/>
                <w:color w:val="000000"/>
                <w:sz w:val="24"/>
              </w:rPr>
            </w:pPr>
          </w:p>
        </w:tc>
        <w:tc>
          <w:tcPr>
            <w:tcW w:w="1800" w:type="dxa"/>
            <w:tcBorders>
              <w:top w:val="nil"/>
              <w:left w:val="nil"/>
              <w:bottom w:val="nil"/>
              <w:right w:val="nil"/>
            </w:tcBorders>
            <w:shd w:val="clear" w:color="auto" w:fill="auto"/>
            <w:tcMar>
              <w:top w:w="15" w:type="dxa"/>
              <w:left w:w="15" w:type="dxa"/>
              <w:right w:w="15" w:type="dxa"/>
            </w:tcMar>
            <w:vAlign w:val="bottom"/>
          </w:tcPr>
          <w:p>
            <w:pPr>
              <w:rPr>
                <w:rFonts w:ascii="Tahoma" w:hAnsi="Tahoma" w:eastAsia="Tahoma" w:cs="Tahoma"/>
                <w:color w:val="000000"/>
                <w:sz w:val="24"/>
              </w:rPr>
            </w:pPr>
          </w:p>
        </w:tc>
        <w:tc>
          <w:tcPr>
            <w:tcW w:w="795" w:type="dxa"/>
            <w:tcBorders>
              <w:top w:val="nil"/>
              <w:left w:val="nil"/>
              <w:bottom w:val="nil"/>
              <w:right w:val="nil"/>
            </w:tcBorders>
            <w:shd w:val="clear" w:color="auto" w:fill="auto"/>
            <w:tcMar>
              <w:top w:w="15" w:type="dxa"/>
              <w:left w:w="15" w:type="dxa"/>
              <w:right w:w="15" w:type="dxa"/>
            </w:tcMar>
            <w:vAlign w:val="bottom"/>
          </w:tcPr>
          <w:p>
            <w:pPr>
              <w:rPr>
                <w:rFonts w:ascii="Tahoma" w:hAnsi="Tahoma" w:eastAsia="Tahoma" w:cs="Tahoma"/>
                <w:color w:val="000000"/>
                <w:sz w:val="24"/>
              </w:rPr>
            </w:pPr>
          </w:p>
        </w:tc>
      </w:tr>
      <w:tr>
        <w:tblPrEx>
          <w:tblCellMar>
            <w:top w:w="0" w:type="dxa"/>
            <w:left w:w="0" w:type="dxa"/>
            <w:bottom w:w="0" w:type="dxa"/>
            <w:right w:w="0"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项目名称</w:t>
            </w:r>
          </w:p>
        </w:tc>
        <w:tc>
          <w:tcPr>
            <w:tcW w:w="79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教育信息</w:t>
            </w:r>
            <w:r>
              <w:rPr>
                <w:rFonts w:hint="eastAsia" w:ascii="宋体" w:hAnsi="宋体" w:cs="宋体"/>
                <w:color w:val="000000"/>
                <w:kern w:val="0"/>
                <w:sz w:val="24"/>
                <w:lang w:eastAsia="zh-CN" w:bidi="ar"/>
              </w:rPr>
              <w:t>化</w:t>
            </w:r>
            <w:r>
              <w:rPr>
                <w:rFonts w:hint="eastAsia" w:ascii="宋体" w:hAnsi="宋体" w:cs="宋体"/>
                <w:color w:val="000000"/>
                <w:kern w:val="0"/>
                <w:sz w:val="24"/>
                <w:lang w:bidi="ar"/>
              </w:rPr>
              <w:t>专项</w:t>
            </w:r>
          </w:p>
        </w:tc>
      </w:tr>
      <w:tr>
        <w:tblPrEx>
          <w:tblCellMar>
            <w:top w:w="0" w:type="dxa"/>
            <w:left w:w="0" w:type="dxa"/>
            <w:bottom w:w="0" w:type="dxa"/>
            <w:right w:w="0" w:type="dxa"/>
          </w:tblCellMar>
        </w:tblPrEx>
        <w:trPr>
          <w:trHeight w:val="73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项目主管部门</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洪山区教育局</w:t>
            </w: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项目执行单位</w:t>
            </w:r>
          </w:p>
        </w:tc>
        <w:tc>
          <w:tcPr>
            <w:tcW w:w="36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教育信息中心</w:t>
            </w:r>
          </w:p>
        </w:tc>
      </w:tr>
      <w:tr>
        <w:tblPrEx>
          <w:tblCellMar>
            <w:top w:w="0" w:type="dxa"/>
            <w:left w:w="0" w:type="dxa"/>
            <w:bottom w:w="0" w:type="dxa"/>
            <w:right w:w="0" w:type="dxa"/>
          </w:tblCellMar>
        </w:tblPrEx>
        <w:trPr>
          <w:trHeight w:val="3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项目资金来源</w:t>
            </w: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资金来源项目</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预算数</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执行数</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执行率</w:t>
            </w:r>
          </w:p>
        </w:tc>
      </w:tr>
      <w:tr>
        <w:tblPrEx>
          <w:tblCellMar>
            <w:top w:w="0" w:type="dxa"/>
            <w:left w:w="0" w:type="dxa"/>
            <w:bottom w:w="0" w:type="dxa"/>
            <w:right w:w="0"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财政拨款收入</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kern w:val="0"/>
                <w:sz w:val="24"/>
              </w:rPr>
              <w:t>945</w:t>
            </w:r>
            <w:r>
              <w:rPr>
                <w:rFonts w:hint="eastAsia" w:ascii="宋体" w:hAnsi="宋体" w:cs="宋体"/>
                <w:color w:val="000000"/>
                <w:kern w:val="0"/>
                <w:sz w:val="24"/>
              </w:rPr>
              <w:t>万元</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944.9</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99.99%</w:t>
            </w:r>
          </w:p>
        </w:tc>
      </w:tr>
      <w:tr>
        <w:tblPrEx>
          <w:tblCellMar>
            <w:top w:w="0" w:type="dxa"/>
            <w:left w:w="0" w:type="dxa"/>
            <w:bottom w:w="0" w:type="dxa"/>
            <w:right w:w="0" w:type="dxa"/>
          </w:tblCellMar>
        </w:tblPrEx>
        <w:trPr>
          <w:trHeight w:val="394" w:hRule="atLeast"/>
        </w:trPr>
        <w:tc>
          <w:tcPr>
            <w:tcW w:w="108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项目绩效年度目标</w:t>
            </w:r>
          </w:p>
          <w:p>
            <w:pPr>
              <w:jc w:val="center"/>
              <w:rPr>
                <w:rFonts w:ascii="宋体" w:hAnsi="宋体" w:cs="宋体"/>
                <w:color w:val="000000"/>
                <w:sz w:val="24"/>
              </w:rPr>
            </w:pPr>
          </w:p>
        </w:tc>
        <w:tc>
          <w:tcPr>
            <w:tcW w:w="79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年度目标设定情况</w:t>
            </w:r>
          </w:p>
        </w:tc>
      </w:tr>
      <w:tr>
        <w:tblPrEx>
          <w:tblCellMar>
            <w:top w:w="0" w:type="dxa"/>
            <w:left w:w="0" w:type="dxa"/>
            <w:bottom w:w="0" w:type="dxa"/>
            <w:right w:w="0" w:type="dxa"/>
          </w:tblCellMar>
        </w:tblPrEx>
        <w:trPr>
          <w:trHeight w:val="1762"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79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宋体"/>
                <w:color w:val="000000"/>
                <w:sz w:val="24"/>
              </w:rPr>
            </w:pPr>
            <w:r>
              <w:rPr>
                <w:rFonts w:hint="eastAsia" w:ascii="仿宋_GB2312" w:hAnsi="宋体" w:eastAsia="仿宋_GB2312" w:cs="宋体"/>
                <w:color w:val="000000"/>
                <w:sz w:val="24"/>
              </w:rPr>
              <w:t xml:space="preserve">    </w:t>
            </w:r>
            <w:r>
              <w:rPr>
                <w:rFonts w:hint="eastAsia" w:ascii="宋体" w:hAnsi="宋体" w:cs="宋体"/>
                <w:color w:val="000000"/>
                <w:kern w:val="0"/>
                <w:sz w:val="24"/>
              </w:rPr>
              <w:t>根据上级有关文件精神、市区绩效考核目标，以及全区教育信息化发展规划和学校实际需要，制定了2019年度教育信息化专项年度目标，主要用于优质数字资源建设、智慧校园和数字化校园建设、创客教育和STEAM教育试点建设、教育信息化培训、网络运维、教育云及教育信息化试点奖补等。</w:t>
            </w:r>
          </w:p>
        </w:tc>
      </w:tr>
      <w:tr>
        <w:tblPrEx>
          <w:tblCellMar>
            <w:top w:w="0" w:type="dxa"/>
            <w:left w:w="0" w:type="dxa"/>
            <w:bottom w:w="0" w:type="dxa"/>
            <w:right w:w="0" w:type="dxa"/>
          </w:tblCellMar>
        </w:tblPrEx>
        <w:trPr>
          <w:trHeight w:val="487"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79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r>
      <w:tr>
        <w:tblPrEx>
          <w:tblCellMar>
            <w:top w:w="0" w:type="dxa"/>
            <w:left w:w="0" w:type="dxa"/>
            <w:bottom w:w="0" w:type="dxa"/>
            <w:right w:w="0" w:type="dxa"/>
          </w:tblCellMar>
        </w:tblPrEx>
        <w:trPr>
          <w:trHeight w:val="1695"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79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仿宋_GB2312" w:hAnsi="宋体" w:eastAsia="仿宋_GB2312" w:cs="宋体"/>
                <w:color w:val="000000"/>
                <w:sz w:val="24"/>
              </w:rPr>
              <w:t xml:space="preserve">    </w:t>
            </w:r>
            <w:r>
              <w:rPr>
                <w:rFonts w:hint="eastAsia" w:ascii="宋体" w:hAnsi="宋体" w:cs="宋体"/>
                <w:color w:val="000000"/>
                <w:kern w:val="0"/>
                <w:sz w:val="24"/>
              </w:rPr>
              <w:t>按照2019年度洪山区教育信息化建设与应用专项经费安排以及使用安排进度表，所有项目均通过招标采购程序，完成了项目建设，完成率达到99.99%。</w:t>
            </w:r>
          </w:p>
        </w:tc>
      </w:tr>
      <w:tr>
        <w:tblPrEx>
          <w:tblCellMar>
            <w:top w:w="0" w:type="dxa"/>
            <w:left w:w="0" w:type="dxa"/>
            <w:bottom w:w="0" w:type="dxa"/>
            <w:right w:w="0" w:type="dxa"/>
          </w:tblCellMar>
        </w:tblPrEx>
        <w:trPr>
          <w:trHeight w:val="468"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79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绩效成效</w:t>
            </w:r>
          </w:p>
        </w:tc>
      </w:tr>
      <w:tr>
        <w:tblPrEx>
          <w:tblCellMar>
            <w:top w:w="0" w:type="dxa"/>
            <w:left w:w="0" w:type="dxa"/>
            <w:bottom w:w="0" w:type="dxa"/>
            <w:right w:w="0" w:type="dxa"/>
          </w:tblCellMar>
        </w:tblPrEx>
        <w:trPr>
          <w:trHeight w:val="1752"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79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仿宋_GB2312" w:hAnsi="宋体" w:eastAsia="仿宋_GB2312" w:cs="宋体"/>
                <w:color w:val="000000"/>
                <w:sz w:val="24"/>
              </w:rPr>
              <w:t xml:space="preserve">    </w:t>
            </w:r>
            <w:r>
              <w:rPr>
                <w:rFonts w:hint="eastAsia" w:ascii="宋体" w:hAnsi="宋体" w:cs="宋体"/>
                <w:color w:val="000000"/>
                <w:kern w:val="0"/>
                <w:sz w:val="24"/>
              </w:rPr>
              <w:t>2019年度以星级智慧校园创建为契机，继续完善学校信息化基础环境，抓好教育云规模化、常态化、深层次应用，促进信息技术与课堂教学的深度融合，实现了全面迈向教育信息化2.0的转段升级。在智慧教育、翻转课堂、课程社区、STEAM教育和创客教育等应用方面取得了多项成果。围绕“互联网+教育”行动计划等各方面工作圆满完成年度区级绩效考核目标。打造四所星级智慧校园，投入4所创客教育试点校，3所翻转课堂试点校。</w:t>
            </w:r>
          </w:p>
        </w:tc>
      </w:tr>
      <w:tr>
        <w:tblPrEx>
          <w:tblCellMar>
            <w:top w:w="0" w:type="dxa"/>
            <w:left w:w="0" w:type="dxa"/>
            <w:bottom w:w="0" w:type="dxa"/>
            <w:right w:w="0" w:type="dxa"/>
          </w:tblCellMar>
        </w:tblPrEx>
        <w:trPr>
          <w:trHeight w:val="414"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79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发现的问题及原因</w:t>
            </w:r>
          </w:p>
        </w:tc>
      </w:tr>
      <w:tr>
        <w:tblPrEx>
          <w:tblCellMar>
            <w:top w:w="0" w:type="dxa"/>
            <w:left w:w="0" w:type="dxa"/>
            <w:bottom w:w="0" w:type="dxa"/>
            <w:right w:w="0" w:type="dxa"/>
          </w:tblCellMar>
        </w:tblPrEx>
        <w:trPr>
          <w:trHeight w:val="2038"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79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4"/>
              </w:rPr>
            </w:pPr>
            <w:r>
              <w:rPr>
                <w:rFonts w:hint="eastAsia" w:ascii="仿宋_GB2312" w:hAnsi="宋体" w:eastAsia="仿宋_GB2312" w:cs="宋体"/>
                <w:color w:val="000000"/>
                <w:sz w:val="24"/>
              </w:rPr>
              <w:t xml:space="preserve">   </w:t>
            </w:r>
            <w:r>
              <w:rPr>
                <w:rFonts w:hint="eastAsia" w:ascii="宋体" w:hAnsi="宋体" w:cs="宋体"/>
                <w:color w:val="000000"/>
                <w:kern w:val="0"/>
                <w:sz w:val="24"/>
              </w:rPr>
              <w:t xml:space="preserve"> 2019年度智慧管理平台建设项目（预算665万元），因为工程立项及进度等原因，该项目在本年度只完成前期规划设计项目（30万），因项目资金投入较大，以及整体规划等原因，有关立项和招标手续都存在停滞。经区教育局和区财政局同意将智慧管理平台建设项目资金已经进行了预算调整。</w:t>
            </w:r>
          </w:p>
        </w:tc>
      </w:tr>
      <w:tr>
        <w:tblPrEx>
          <w:tblCellMar>
            <w:top w:w="0" w:type="dxa"/>
            <w:left w:w="0" w:type="dxa"/>
            <w:bottom w:w="0" w:type="dxa"/>
            <w:right w:w="0" w:type="dxa"/>
          </w:tblCellMar>
        </w:tblPrEx>
        <w:trPr>
          <w:trHeight w:val="394"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79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加强预算绩效管理的建议</w:t>
            </w:r>
          </w:p>
        </w:tc>
      </w:tr>
      <w:tr>
        <w:tblPrEx>
          <w:tblCellMar>
            <w:top w:w="0" w:type="dxa"/>
            <w:left w:w="0" w:type="dxa"/>
            <w:bottom w:w="0" w:type="dxa"/>
            <w:right w:w="0" w:type="dxa"/>
          </w:tblCellMar>
        </w:tblPrEx>
        <w:trPr>
          <w:trHeight w:val="1882" w:hRule="atLeast"/>
        </w:trPr>
        <w:tc>
          <w:tcPr>
            <w:tcW w:w="108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79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kern w:val="0"/>
                <w:sz w:val="24"/>
              </w:rPr>
            </w:pPr>
            <w:r>
              <w:rPr>
                <w:rFonts w:hint="eastAsia" w:ascii="宋体" w:hAnsi="宋体" w:cs="宋体"/>
                <w:color w:val="000000"/>
                <w:kern w:val="0"/>
                <w:sz w:val="24"/>
              </w:rPr>
              <w:t xml:space="preserve">    一是需要加强预算绩效管理工作的培训，对于经费预算和建设项目管理工作的专业培训，真正体现把钱花在刀刃上；二是要加强宣传引导，强化绩效观念，更需要了解相关政策，方便开展各项工作。</w:t>
            </w:r>
          </w:p>
        </w:tc>
      </w:tr>
    </w:tbl>
    <w:tbl>
      <w:tblPr>
        <w:tblStyle w:val="5"/>
        <w:tblW w:w="9045" w:type="dxa"/>
        <w:tblInd w:w="0" w:type="dxa"/>
        <w:tblLayout w:type="fixed"/>
        <w:tblCellMar>
          <w:top w:w="0" w:type="dxa"/>
          <w:left w:w="0" w:type="dxa"/>
          <w:bottom w:w="0" w:type="dxa"/>
          <w:right w:w="0" w:type="dxa"/>
        </w:tblCellMar>
      </w:tblPr>
      <w:tblGrid>
        <w:gridCol w:w="1080"/>
        <w:gridCol w:w="1080"/>
        <w:gridCol w:w="1080"/>
        <w:gridCol w:w="2190"/>
        <w:gridCol w:w="1523"/>
        <w:gridCol w:w="1297"/>
        <w:gridCol w:w="795"/>
      </w:tblGrid>
      <w:tr>
        <w:tblPrEx>
          <w:tblCellMar>
            <w:top w:w="0" w:type="dxa"/>
            <w:left w:w="0" w:type="dxa"/>
            <w:bottom w:w="0" w:type="dxa"/>
            <w:right w:w="0" w:type="dxa"/>
          </w:tblCellMar>
        </w:tblPrEx>
        <w:trPr>
          <w:trHeight w:val="405" w:hRule="atLeast"/>
        </w:trPr>
        <w:tc>
          <w:tcPr>
            <w:tcW w:w="9045" w:type="dxa"/>
            <w:gridSpan w:val="7"/>
            <w:tcBorders>
              <w:top w:val="nil"/>
              <w:left w:val="nil"/>
              <w:bottom w:val="nil"/>
              <w:right w:val="nil"/>
            </w:tcBorders>
            <w:shd w:val="clear" w:color="auto" w:fill="auto"/>
            <w:tcMar>
              <w:top w:w="15" w:type="dxa"/>
              <w:left w:w="15" w:type="dxa"/>
              <w:right w:w="15" w:type="dxa"/>
            </w:tcMar>
            <w:vAlign w:val="bottom"/>
          </w:tcPr>
          <w:p>
            <w:pPr>
              <w:widowControl/>
              <w:jc w:val="center"/>
              <w:textAlignment w:val="bottom"/>
              <w:rPr>
                <w:rFonts w:ascii="宋体" w:hAnsi="宋体" w:cs="宋体"/>
                <w:color w:val="000000"/>
                <w:sz w:val="32"/>
                <w:szCs w:val="32"/>
              </w:rPr>
            </w:pPr>
            <w:r>
              <w:rPr>
                <w:rFonts w:hint="eastAsia" w:ascii="宋体" w:hAnsi="宋体" w:cs="宋体"/>
                <w:color w:val="000000"/>
                <w:kern w:val="0"/>
                <w:sz w:val="32"/>
                <w:szCs w:val="32"/>
                <w:lang w:bidi="ar"/>
              </w:rPr>
              <w:t>2019年洪山区教育局部门项目绩效自评表</w:t>
            </w:r>
          </w:p>
        </w:tc>
      </w:tr>
      <w:tr>
        <w:tblPrEx>
          <w:tblCellMar>
            <w:top w:w="0" w:type="dxa"/>
            <w:left w:w="0" w:type="dxa"/>
            <w:bottom w:w="0" w:type="dxa"/>
            <w:right w:w="0" w:type="dxa"/>
          </w:tblCellMar>
        </w:tblPrEx>
        <w:trPr>
          <w:trHeight w:val="300" w:hRule="atLeast"/>
        </w:trPr>
        <w:tc>
          <w:tcPr>
            <w:tcW w:w="1080" w:type="dxa"/>
            <w:tcBorders>
              <w:top w:val="nil"/>
              <w:left w:val="nil"/>
              <w:bottom w:val="nil"/>
              <w:right w:val="nil"/>
            </w:tcBorders>
            <w:shd w:val="clear" w:color="auto" w:fill="auto"/>
            <w:tcMar>
              <w:top w:w="15" w:type="dxa"/>
              <w:left w:w="15" w:type="dxa"/>
              <w:right w:w="15" w:type="dxa"/>
            </w:tcMar>
            <w:vAlign w:val="bottom"/>
          </w:tcPr>
          <w:p>
            <w:pPr>
              <w:rPr>
                <w:rFonts w:ascii="Tahoma" w:hAnsi="Tahoma" w:eastAsia="Tahoma" w:cs="Tahoma"/>
                <w:color w:val="000000"/>
                <w:sz w:val="24"/>
              </w:rPr>
            </w:pPr>
          </w:p>
        </w:tc>
        <w:tc>
          <w:tcPr>
            <w:tcW w:w="1080" w:type="dxa"/>
            <w:tcBorders>
              <w:top w:val="nil"/>
              <w:left w:val="nil"/>
              <w:bottom w:val="nil"/>
              <w:right w:val="nil"/>
            </w:tcBorders>
            <w:shd w:val="clear" w:color="auto" w:fill="auto"/>
            <w:tcMar>
              <w:top w:w="15" w:type="dxa"/>
              <w:left w:w="15" w:type="dxa"/>
              <w:right w:w="15" w:type="dxa"/>
            </w:tcMar>
            <w:vAlign w:val="bottom"/>
          </w:tcPr>
          <w:p>
            <w:pPr>
              <w:rPr>
                <w:rFonts w:ascii="Tahoma" w:hAnsi="Tahoma" w:eastAsia="Tahoma" w:cs="Tahoma"/>
                <w:color w:val="000000"/>
                <w:sz w:val="24"/>
              </w:rPr>
            </w:pPr>
          </w:p>
        </w:tc>
        <w:tc>
          <w:tcPr>
            <w:tcW w:w="1080" w:type="dxa"/>
            <w:tcBorders>
              <w:top w:val="nil"/>
              <w:left w:val="nil"/>
              <w:bottom w:val="nil"/>
              <w:right w:val="nil"/>
            </w:tcBorders>
            <w:shd w:val="clear" w:color="auto" w:fill="auto"/>
            <w:tcMar>
              <w:top w:w="15" w:type="dxa"/>
              <w:left w:w="15" w:type="dxa"/>
              <w:right w:w="15" w:type="dxa"/>
            </w:tcMar>
            <w:vAlign w:val="bottom"/>
          </w:tcPr>
          <w:p>
            <w:pPr>
              <w:rPr>
                <w:rFonts w:ascii="Tahoma" w:hAnsi="Tahoma" w:eastAsia="Tahoma" w:cs="Tahoma"/>
                <w:color w:val="000000"/>
                <w:sz w:val="24"/>
              </w:rPr>
            </w:pPr>
          </w:p>
        </w:tc>
        <w:tc>
          <w:tcPr>
            <w:tcW w:w="2190" w:type="dxa"/>
            <w:tcBorders>
              <w:top w:val="nil"/>
              <w:left w:val="nil"/>
              <w:bottom w:val="nil"/>
              <w:right w:val="nil"/>
            </w:tcBorders>
            <w:shd w:val="clear" w:color="auto" w:fill="auto"/>
            <w:tcMar>
              <w:top w:w="15" w:type="dxa"/>
              <w:left w:w="15" w:type="dxa"/>
              <w:right w:w="15" w:type="dxa"/>
            </w:tcMar>
            <w:vAlign w:val="bottom"/>
          </w:tcPr>
          <w:p>
            <w:pPr>
              <w:rPr>
                <w:rFonts w:ascii="Tahoma" w:hAnsi="Tahoma" w:eastAsia="Tahoma" w:cs="Tahoma"/>
                <w:color w:val="000000"/>
                <w:sz w:val="24"/>
              </w:rPr>
            </w:pPr>
          </w:p>
        </w:tc>
        <w:tc>
          <w:tcPr>
            <w:tcW w:w="1523" w:type="dxa"/>
            <w:tcBorders>
              <w:top w:val="nil"/>
              <w:left w:val="nil"/>
              <w:bottom w:val="nil"/>
              <w:right w:val="nil"/>
            </w:tcBorders>
            <w:shd w:val="clear" w:color="auto" w:fill="auto"/>
            <w:tcMar>
              <w:top w:w="15" w:type="dxa"/>
              <w:left w:w="15" w:type="dxa"/>
              <w:right w:w="15" w:type="dxa"/>
            </w:tcMar>
            <w:vAlign w:val="bottom"/>
          </w:tcPr>
          <w:p>
            <w:pPr>
              <w:rPr>
                <w:rFonts w:ascii="Tahoma" w:hAnsi="Tahoma" w:eastAsia="Tahoma" w:cs="Tahoma"/>
                <w:color w:val="000000"/>
                <w:sz w:val="24"/>
              </w:rPr>
            </w:pPr>
          </w:p>
        </w:tc>
        <w:tc>
          <w:tcPr>
            <w:tcW w:w="1297" w:type="dxa"/>
            <w:tcBorders>
              <w:top w:val="nil"/>
              <w:left w:val="nil"/>
              <w:bottom w:val="nil"/>
              <w:right w:val="nil"/>
            </w:tcBorders>
            <w:shd w:val="clear" w:color="auto" w:fill="auto"/>
            <w:tcMar>
              <w:top w:w="15" w:type="dxa"/>
              <w:left w:w="15" w:type="dxa"/>
              <w:right w:w="15" w:type="dxa"/>
            </w:tcMar>
            <w:vAlign w:val="bottom"/>
          </w:tcPr>
          <w:p>
            <w:pPr>
              <w:rPr>
                <w:rFonts w:ascii="Tahoma" w:hAnsi="Tahoma" w:eastAsia="Tahoma" w:cs="Tahoma"/>
                <w:color w:val="000000"/>
                <w:sz w:val="24"/>
              </w:rPr>
            </w:pPr>
          </w:p>
        </w:tc>
        <w:tc>
          <w:tcPr>
            <w:tcW w:w="795" w:type="dxa"/>
            <w:tcBorders>
              <w:top w:val="nil"/>
              <w:left w:val="nil"/>
              <w:bottom w:val="nil"/>
              <w:right w:val="nil"/>
            </w:tcBorders>
            <w:shd w:val="clear" w:color="auto" w:fill="auto"/>
            <w:tcMar>
              <w:top w:w="15" w:type="dxa"/>
              <w:left w:w="15" w:type="dxa"/>
              <w:right w:w="15" w:type="dxa"/>
            </w:tcMar>
            <w:vAlign w:val="bottom"/>
          </w:tcPr>
          <w:p>
            <w:pPr>
              <w:rPr>
                <w:rFonts w:ascii="Tahoma" w:hAnsi="Tahoma" w:eastAsia="Tahoma" w:cs="Tahoma"/>
                <w:color w:val="000000"/>
                <w:sz w:val="24"/>
              </w:rPr>
            </w:pPr>
          </w:p>
        </w:tc>
      </w:tr>
      <w:tr>
        <w:tblPrEx>
          <w:tblCellMar>
            <w:top w:w="0" w:type="dxa"/>
            <w:left w:w="0" w:type="dxa"/>
            <w:bottom w:w="0" w:type="dxa"/>
            <w:right w:w="0"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项目名称</w:t>
            </w:r>
          </w:p>
        </w:tc>
        <w:tc>
          <w:tcPr>
            <w:tcW w:w="79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学前教育专项</w:t>
            </w:r>
          </w:p>
        </w:tc>
      </w:tr>
      <w:tr>
        <w:tblPrEx>
          <w:tblCellMar>
            <w:top w:w="0" w:type="dxa"/>
            <w:left w:w="0" w:type="dxa"/>
            <w:bottom w:w="0" w:type="dxa"/>
            <w:right w:w="0" w:type="dxa"/>
          </w:tblCellMar>
        </w:tblPrEx>
        <w:trPr>
          <w:trHeight w:val="73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项目主管部门</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洪山区教育局</w:t>
            </w: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项目执行单位</w:t>
            </w:r>
          </w:p>
        </w:tc>
        <w:tc>
          <w:tcPr>
            <w:tcW w:w="36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教育局学前科</w:t>
            </w:r>
          </w:p>
        </w:tc>
      </w:tr>
      <w:tr>
        <w:tblPrEx>
          <w:tblCellMar>
            <w:top w:w="0" w:type="dxa"/>
            <w:left w:w="0" w:type="dxa"/>
            <w:bottom w:w="0" w:type="dxa"/>
            <w:right w:w="0" w:type="dxa"/>
          </w:tblCellMar>
        </w:tblPrEx>
        <w:trPr>
          <w:trHeight w:val="3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项目资金来源</w:t>
            </w: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资金来源项目</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预算数</w:t>
            </w:r>
          </w:p>
        </w:tc>
        <w:tc>
          <w:tcPr>
            <w:tcW w:w="1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执行数</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执行率</w:t>
            </w:r>
          </w:p>
        </w:tc>
      </w:tr>
      <w:tr>
        <w:tblPrEx>
          <w:tblCellMar>
            <w:top w:w="0" w:type="dxa"/>
            <w:left w:w="0" w:type="dxa"/>
            <w:bottom w:w="0" w:type="dxa"/>
            <w:right w:w="0"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财政拨款收入</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kern w:val="0"/>
                <w:sz w:val="24"/>
                <w:lang w:bidi="ar"/>
              </w:rPr>
              <w:t>2304</w:t>
            </w:r>
            <w:r>
              <w:rPr>
                <w:rFonts w:hint="eastAsia" w:ascii="宋体" w:hAnsi="宋体" w:cs="宋体"/>
                <w:color w:val="000000"/>
                <w:kern w:val="0"/>
                <w:sz w:val="24"/>
                <w:lang w:bidi="ar"/>
              </w:rPr>
              <w:t>万元</w:t>
            </w:r>
          </w:p>
        </w:tc>
        <w:tc>
          <w:tcPr>
            <w:tcW w:w="1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pacing w:val="-24"/>
                <w:sz w:val="24"/>
              </w:rPr>
            </w:pPr>
            <w:r>
              <w:rPr>
                <w:rFonts w:ascii="宋体" w:hAnsi="宋体" w:cs="宋体"/>
                <w:color w:val="000000"/>
                <w:kern w:val="0"/>
                <w:sz w:val="24"/>
                <w:lang w:bidi="ar"/>
              </w:rPr>
              <w:t>2304</w:t>
            </w:r>
            <w:r>
              <w:rPr>
                <w:rFonts w:hint="eastAsia" w:ascii="宋体" w:hAnsi="宋体" w:cs="宋体"/>
                <w:color w:val="000000"/>
                <w:kern w:val="0"/>
                <w:sz w:val="24"/>
                <w:lang w:bidi="ar"/>
              </w:rPr>
              <w:t>万元</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 xml:space="preserve"> 100 %</w:t>
            </w:r>
          </w:p>
        </w:tc>
      </w:tr>
      <w:tr>
        <w:tblPrEx>
          <w:tblCellMar>
            <w:top w:w="0" w:type="dxa"/>
            <w:left w:w="0" w:type="dxa"/>
            <w:bottom w:w="0" w:type="dxa"/>
            <w:right w:w="0" w:type="dxa"/>
          </w:tblCellMar>
        </w:tblPrEx>
        <w:trPr>
          <w:trHeight w:val="394" w:hRule="atLeast"/>
        </w:trPr>
        <w:tc>
          <w:tcPr>
            <w:tcW w:w="108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项目绩效年度目标</w:t>
            </w:r>
          </w:p>
          <w:p>
            <w:pPr>
              <w:jc w:val="center"/>
              <w:rPr>
                <w:rFonts w:ascii="宋体" w:hAnsi="宋体" w:cs="宋体"/>
                <w:color w:val="000000"/>
                <w:sz w:val="24"/>
              </w:rPr>
            </w:pPr>
          </w:p>
        </w:tc>
        <w:tc>
          <w:tcPr>
            <w:tcW w:w="79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年度目标设定情况</w:t>
            </w:r>
          </w:p>
        </w:tc>
      </w:tr>
      <w:tr>
        <w:tblPrEx>
          <w:tblCellMar>
            <w:top w:w="0" w:type="dxa"/>
            <w:left w:w="0" w:type="dxa"/>
            <w:bottom w:w="0" w:type="dxa"/>
            <w:right w:w="0" w:type="dxa"/>
          </w:tblCellMar>
        </w:tblPrEx>
        <w:trPr>
          <w:trHeight w:val="1762"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79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80" w:firstLineChars="200"/>
              <w:jc w:val="left"/>
              <w:textAlignment w:val="center"/>
              <w:rPr>
                <w:rFonts w:ascii="宋体" w:hAnsi="宋体" w:cs="宋体"/>
                <w:color w:val="000000"/>
                <w:sz w:val="24"/>
              </w:rPr>
            </w:pPr>
            <w:r>
              <w:rPr>
                <w:rFonts w:hint="eastAsia" w:ascii="宋体" w:hAnsi="宋体" w:cs="宋体"/>
                <w:color w:val="000000"/>
                <w:sz w:val="24"/>
              </w:rPr>
              <w:t>继续</w:t>
            </w:r>
            <w:r>
              <w:rPr>
                <w:rFonts w:ascii="宋体" w:hAnsi="宋体" w:cs="宋体"/>
                <w:color w:val="000000"/>
                <w:sz w:val="24"/>
              </w:rPr>
              <w:t>开展</w:t>
            </w:r>
            <w:r>
              <w:rPr>
                <w:rFonts w:hint="eastAsia" w:ascii="宋体" w:hAnsi="宋体" w:cs="宋体"/>
                <w:color w:val="000000"/>
                <w:sz w:val="24"/>
              </w:rPr>
              <w:t>"快乐活动区"、"健康运动"工程，为公办园、民办普惠园配备班级活动区、户外活动材料，并组织开展相关专题培训；</w:t>
            </w:r>
          </w:p>
          <w:p>
            <w:pPr>
              <w:widowControl/>
              <w:ind w:firstLine="480" w:firstLineChars="200"/>
              <w:jc w:val="left"/>
              <w:textAlignment w:val="center"/>
              <w:rPr>
                <w:rFonts w:ascii="宋体" w:hAnsi="宋体" w:cs="宋体"/>
                <w:color w:val="000000"/>
                <w:sz w:val="24"/>
              </w:rPr>
            </w:pPr>
            <w:r>
              <w:rPr>
                <w:rFonts w:hint="eastAsia" w:ascii="宋体" w:hAnsi="宋体" w:cs="宋体"/>
                <w:color w:val="000000"/>
                <w:sz w:val="24"/>
              </w:rPr>
              <w:t>等级园创建奖补，深入指导等级园创建，在评估中全面提高办园水平；扶持原有普惠性民办园专项，</w:t>
            </w:r>
            <w:r>
              <w:rPr>
                <w:rFonts w:ascii="宋体" w:hAnsi="宋体" w:cs="宋体"/>
                <w:color w:val="000000"/>
                <w:sz w:val="24"/>
              </w:rPr>
              <w:t>优化办园条件</w:t>
            </w:r>
            <w:r>
              <w:rPr>
                <w:rFonts w:hint="eastAsia" w:ascii="宋体" w:hAnsi="宋体" w:cs="宋体"/>
                <w:color w:val="000000"/>
                <w:sz w:val="24"/>
              </w:rPr>
              <w:t>；</w:t>
            </w:r>
          </w:p>
          <w:p>
            <w:pPr>
              <w:widowControl/>
              <w:ind w:firstLine="480" w:firstLineChars="200"/>
              <w:jc w:val="left"/>
              <w:textAlignment w:val="center"/>
              <w:rPr>
                <w:rFonts w:ascii="宋体" w:hAnsi="宋体" w:cs="宋体"/>
                <w:color w:val="000000"/>
                <w:sz w:val="24"/>
              </w:rPr>
            </w:pPr>
            <w:r>
              <w:rPr>
                <w:rFonts w:hint="eastAsia" w:ascii="宋体" w:hAnsi="宋体" w:cs="宋体"/>
                <w:color w:val="000000"/>
                <w:sz w:val="24"/>
              </w:rPr>
              <w:t>加强校园安全及综治管理</w:t>
            </w:r>
            <w:r>
              <w:rPr>
                <w:rFonts w:ascii="宋体" w:hAnsi="宋体" w:cs="宋体"/>
                <w:color w:val="000000"/>
                <w:sz w:val="24"/>
              </w:rPr>
              <w:t>，确保</w:t>
            </w:r>
            <w:r>
              <w:rPr>
                <w:rFonts w:hint="eastAsia" w:ascii="宋体" w:hAnsi="宋体" w:cs="宋体"/>
                <w:color w:val="000000"/>
                <w:sz w:val="24"/>
              </w:rPr>
              <w:t>师生</w:t>
            </w:r>
            <w:r>
              <w:rPr>
                <w:rFonts w:ascii="宋体" w:hAnsi="宋体" w:cs="宋体"/>
                <w:color w:val="000000"/>
                <w:sz w:val="24"/>
              </w:rPr>
              <w:t>安全</w:t>
            </w:r>
            <w:r>
              <w:rPr>
                <w:rFonts w:hint="eastAsia" w:ascii="宋体" w:hAnsi="宋体" w:cs="宋体"/>
                <w:color w:val="000000"/>
                <w:sz w:val="24"/>
              </w:rPr>
              <w:t>；</w:t>
            </w:r>
          </w:p>
          <w:p>
            <w:pPr>
              <w:widowControl/>
              <w:ind w:firstLine="480" w:firstLineChars="200"/>
              <w:jc w:val="left"/>
              <w:textAlignment w:val="center"/>
              <w:rPr>
                <w:rFonts w:ascii="宋体" w:hAnsi="宋体" w:cs="宋体"/>
                <w:color w:val="000000"/>
                <w:sz w:val="24"/>
              </w:rPr>
            </w:pPr>
            <w:r>
              <w:rPr>
                <w:rFonts w:hint="eastAsia" w:ascii="宋体" w:hAnsi="宋体" w:cs="宋体"/>
                <w:color w:val="000000"/>
                <w:sz w:val="24"/>
              </w:rPr>
              <w:t>全面</w:t>
            </w:r>
            <w:r>
              <w:rPr>
                <w:rFonts w:ascii="宋体" w:hAnsi="宋体" w:cs="宋体"/>
                <w:color w:val="000000"/>
                <w:sz w:val="24"/>
              </w:rPr>
              <w:t>强化</w:t>
            </w:r>
            <w:r>
              <w:rPr>
                <w:rFonts w:hint="eastAsia" w:ascii="宋体" w:hAnsi="宋体" w:cs="宋体"/>
                <w:color w:val="000000"/>
                <w:sz w:val="24"/>
              </w:rPr>
              <w:t>幼儿园党建工作等。</w:t>
            </w:r>
          </w:p>
        </w:tc>
      </w:tr>
      <w:tr>
        <w:tblPrEx>
          <w:tblCellMar>
            <w:top w:w="0" w:type="dxa"/>
            <w:left w:w="0" w:type="dxa"/>
            <w:bottom w:w="0" w:type="dxa"/>
            <w:right w:w="0" w:type="dxa"/>
          </w:tblCellMar>
        </w:tblPrEx>
        <w:trPr>
          <w:trHeight w:val="487"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79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年度目标完成情况</w:t>
            </w:r>
          </w:p>
        </w:tc>
      </w:tr>
      <w:tr>
        <w:tblPrEx>
          <w:tblCellMar>
            <w:top w:w="0" w:type="dxa"/>
            <w:left w:w="0" w:type="dxa"/>
            <w:bottom w:w="0" w:type="dxa"/>
            <w:right w:w="0" w:type="dxa"/>
          </w:tblCellMar>
        </w:tblPrEx>
        <w:trPr>
          <w:trHeight w:val="1695"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79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80" w:firstLineChars="200"/>
              <w:jc w:val="left"/>
              <w:textAlignment w:val="center"/>
              <w:rPr>
                <w:rFonts w:ascii="宋体" w:hAnsi="宋体" w:cs="宋体"/>
                <w:color w:val="000000"/>
                <w:sz w:val="24"/>
              </w:rPr>
            </w:pPr>
            <w:r>
              <w:rPr>
                <w:rFonts w:hint="eastAsia" w:ascii="宋体" w:hAnsi="宋体" w:cs="宋体"/>
                <w:color w:val="000000"/>
                <w:sz w:val="24"/>
              </w:rPr>
              <w:t>教办园各个项目及时开展，基本完成。</w:t>
            </w:r>
          </w:p>
          <w:p>
            <w:pPr>
              <w:widowControl/>
              <w:ind w:firstLine="480" w:firstLineChars="200"/>
              <w:jc w:val="left"/>
              <w:textAlignment w:val="center"/>
              <w:rPr>
                <w:rFonts w:ascii="宋体" w:hAnsi="宋体" w:cs="宋体"/>
                <w:color w:val="000000"/>
                <w:sz w:val="24"/>
              </w:rPr>
            </w:pPr>
            <w:r>
              <w:rPr>
                <w:rFonts w:hint="eastAsia" w:ascii="宋体" w:hAnsi="宋体" w:cs="宋体"/>
                <w:color w:val="000000"/>
                <w:sz w:val="24"/>
              </w:rPr>
              <w:t>组织开展"快乐活动区"、"健康运动"工程申报工作，为公办、民办普惠园配备班级活动区和户外游戏材料；</w:t>
            </w:r>
          </w:p>
          <w:p>
            <w:pPr>
              <w:widowControl/>
              <w:ind w:firstLine="480" w:firstLineChars="200"/>
              <w:jc w:val="left"/>
              <w:textAlignment w:val="center"/>
              <w:rPr>
                <w:rFonts w:ascii="宋体" w:hAnsi="宋体" w:cs="宋体"/>
                <w:color w:val="000000"/>
                <w:sz w:val="24"/>
              </w:rPr>
            </w:pPr>
            <w:r>
              <w:rPr>
                <w:rFonts w:hint="eastAsia" w:ascii="宋体" w:hAnsi="宋体" w:cs="宋体"/>
                <w:color w:val="000000"/>
                <w:sz w:val="24"/>
              </w:rPr>
              <w:t>组织专家小组对全区2</w:t>
            </w:r>
            <w:r>
              <w:rPr>
                <w:rFonts w:ascii="宋体" w:hAnsi="宋体" w:cs="宋体"/>
                <w:color w:val="000000"/>
                <w:sz w:val="24"/>
              </w:rPr>
              <w:t>6</w:t>
            </w:r>
            <w:r>
              <w:rPr>
                <w:rFonts w:hint="eastAsia" w:ascii="宋体" w:hAnsi="宋体" w:cs="宋体"/>
                <w:color w:val="000000"/>
                <w:sz w:val="24"/>
              </w:rPr>
              <w:t>所幼儿园开展等级评估，通过等级园创建逐年提升优质园所总量；</w:t>
            </w:r>
          </w:p>
          <w:p>
            <w:pPr>
              <w:widowControl/>
              <w:ind w:firstLine="480" w:firstLineChars="200"/>
              <w:jc w:val="left"/>
              <w:textAlignment w:val="center"/>
              <w:rPr>
                <w:rFonts w:ascii="宋体" w:hAnsi="宋体" w:cs="宋体"/>
                <w:color w:val="000000"/>
                <w:sz w:val="24"/>
              </w:rPr>
            </w:pPr>
            <w:r>
              <w:rPr>
                <w:rFonts w:hint="eastAsia" w:ascii="宋体" w:hAnsi="宋体" w:cs="宋体"/>
                <w:color w:val="000000"/>
                <w:sz w:val="24"/>
              </w:rPr>
              <w:t>开展新一轮普惠性民办园认定工作，完成公办、民办普惠园生均经费核算、造册及下拨；</w:t>
            </w:r>
          </w:p>
          <w:p>
            <w:pPr>
              <w:widowControl/>
              <w:ind w:firstLine="480" w:firstLineChars="200"/>
              <w:jc w:val="left"/>
              <w:textAlignment w:val="center"/>
              <w:rPr>
                <w:rFonts w:ascii="宋体" w:hAnsi="宋体" w:cs="宋体"/>
                <w:color w:val="000000"/>
                <w:sz w:val="24"/>
              </w:rPr>
            </w:pPr>
            <w:r>
              <w:rPr>
                <w:rFonts w:hint="eastAsia" w:ascii="宋体" w:hAnsi="宋体" w:cs="宋体"/>
                <w:color w:val="000000"/>
                <w:sz w:val="24"/>
              </w:rPr>
              <w:t>幼儿园党建</w:t>
            </w:r>
            <w:r>
              <w:rPr>
                <w:rFonts w:ascii="宋体" w:hAnsi="宋体" w:cs="宋体"/>
                <w:color w:val="000000"/>
                <w:sz w:val="24"/>
              </w:rPr>
              <w:t>工作有序深入开展</w:t>
            </w:r>
            <w:r>
              <w:rPr>
                <w:rFonts w:hint="eastAsia" w:ascii="宋体" w:hAnsi="宋体" w:cs="宋体"/>
                <w:color w:val="000000"/>
                <w:sz w:val="24"/>
              </w:rPr>
              <w:t>。</w:t>
            </w:r>
          </w:p>
        </w:tc>
      </w:tr>
      <w:tr>
        <w:tblPrEx>
          <w:tblCellMar>
            <w:top w:w="0" w:type="dxa"/>
            <w:left w:w="0" w:type="dxa"/>
            <w:bottom w:w="0" w:type="dxa"/>
            <w:right w:w="0" w:type="dxa"/>
          </w:tblCellMar>
        </w:tblPrEx>
        <w:trPr>
          <w:trHeight w:val="468"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79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绩效成效</w:t>
            </w:r>
          </w:p>
        </w:tc>
      </w:tr>
      <w:tr>
        <w:tblPrEx>
          <w:tblCellMar>
            <w:top w:w="0" w:type="dxa"/>
            <w:left w:w="0" w:type="dxa"/>
            <w:bottom w:w="0" w:type="dxa"/>
            <w:right w:w="0" w:type="dxa"/>
          </w:tblCellMar>
        </w:tblPrEx>
        <w:trPr>
          <w:trHeight w:val="1752"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79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80" w:firstLineChars="200"/>
              <w:jc w:val="left"/>
              <w:textAlignment w:val="center"/>
              <w:rPr>
                <w:rFonts w:ascii="宋体" w:hAnsi="宋体" w:cs="宋体"/>
                <w:color w:val="000000"/>
                <w:sz w:val="24"/>
              </w:rPr>
            </w:pPr>
            <w:r>
              <w:rPr>
                <w:rFonts w:hint="eastAsia" w:ascii="宋体" w:hAnsi="宋体" w:cs="宋体"/>
                <w:color w:val="000000"/>
                <w:sz w:val="24"/>
              </w:rPr>
              <w:t>对在园幼儿数进行分层统计，核算补助金额，指导幼儿园规范专项经费管理，提高经费使用的有效性。进一步规范幼儿园的本园行为，改善办学条件，提升人员素质，提高办学质量。</w:t>
            </w:r>
          </w:p>
        </w:tc>
      </w:tr>
      <w:tr>
        <w:tblPrEx>
          <w:tblCellMar>
            <w:top w:w="0" w:type="dxa"/>
            <w:left w:w="0" w:type="dxa"/>
            <w:bottom w:w="0" w:type="dxa"/>
            <w:right w:w="0" w:type="dxa"/>
          </w:tblCellMar>
        </w:tblPrEx>
        <w:trPr>
          <w:trHeight w:val="414"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79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财政拨款收入</w:t>
            </w:r>
          </w:p>
        </w:tc>
      </w:tr>
      <w:tr>
        <w:tblPrEx>
          <w:tblCellMar>
            <w:top w:w="0" w:type="dxa"/>
            <w:left w:w="0" w:type="dxa"/>
            <w:bottom w:w="0" w:type="dxa"/>
            <w:right w:w="0" w:type="dxa"/>
          </w:tblCellMar>
        </w:tblPrEx>
        <w:trPr>
          <w:trHeight w:val="2038"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79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394"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79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加强预算绩效管理的建议</w:t>
            </w:r>
          </w:p>
        </w:tc>
      </w:tr>
      <w:tr>
        <w:tblPrEx>
          <w:tblCellMar>
            <w:top w:w="0" w:type="dxa"/>
            <w:left w:w="0" w:type="dxa"/>
            <w:bottom w:w="0" w:type="dxa"/>
            <w:right w:w="0" w:type="dxa"/>
          </w:tblCellMar>
        </w:tblPrEx>
        <w:trPr>
          <w:trHeight w:val="1882" w:hRule="atLeast"/>
        </w:trPr>
        <w:tc>
          <w:tcPr>
            <w:tcW w:w="108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79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4"/>
                <w:lang w:bidi="ar"/>
              </w:rPr>
            </w:pPr>
          </w:p>
        </w:tc>
      </w:tr>
    </w:tbl>
    <w:p>
      <w:r>
        <w:br w:type="page"/>
      </w:r>
    </w:p>
    <w:tbl>
      <w:tblPr>
        <w:tblStyle w:val="5"/>
        <w:tblW w:w="9045" w:type="dxa"/>
        <w:tblInd w:w="0" w:type="dxa"/>
        <w:tblLayout w:type="fixed"/>
        <w:tblCellMar>
          <w:top w:w="0" w:type="dxa"/>
          <w:left w:w="0" w:type="dxa"/>
          <w:bottom w:w="0" w:type="dxa"/>
          <w:right w:w="0" w:type="dxa"/>
        </w:tblCellMar>
      </w:tblPr>
      <w:tblGrid>
        <w:gridCol w:w="1080"/>
        <w:gridCol w:w="1080"/>
        <w:gridCol w:w="1080"/>
        <w:gridCol w:w="2190"/>
        <w:gridCol w:w="1523"/>
        <w:gridCol w:w="1297"/>
        <w:gridCol w:w="795"/>
      </w:tblGrid>
      <w:tr>
        <w:tblPrEx>
          <w:tblCellMar>
            <w:top w:w="0" w:type="dxa"/>
            <w:left w:w="0" w:type="dxa"/>
            <w:bottom w:w="0" w:type="dxa"/>
            <w:right w:w="0" w:type="dxa"/>
          </w:tblCellMar>
        </w:tblPrEx>
        <w:trPr>
          <w:trHeight w:val="405" w:hRule="atLeast"/>
        </w:trPr>
        <w:tc>
          <w:tcPr>
            <w:tcW w:w="9045" w:type="dxa"/>
            <w:gridSpan w:val="7"/>
            <w:tcBorders>
              <w:top w:val="nil"/>
              <w:left w:val="nil"/>
              <w:bottom w:val="nil"/>
              <w:right w:val="nil"/>
            </w:tcBorders>
            <w:shd w:val="clear" w:color="auto" w:fill="auto"/>
            <w:tcMar>
              <w:top w:w="15" w:type="dxa"/>
              <w:left w:w="15" w:type="dxa"/>
              <w:right w:w="15" w:type="dxa"/>
            </w:tcMar>
            <w:vAlign w:val="bottom"/>
          </w:tcPr>
          <w:p>
            <w:pPr>
              <w:widowControl/>
              <w:jc w:val="center"/>
              <w:textAlignment w:val="bottom"/>
              <w:rPr>
                <w:rFonts w:ascii="宋体" w:hAnsi="宋体" w:cs="宋体"/>
                <w:color w:val="000000"/>
                <w:sz w:val="32"/>
                <w:szCs w:val="32"/>
              </w:rPr>
            </w:pPr>
            <w:r>
              <w:rPr>
                <w:rFonts w:hint="eastAsia" w:ascii="宋体" w:hAnsi="宋体" w:cs="宋体"/>
                <w:color w:val="000000"/>
                <w:kern w:val="0"/>
                <w:sz w:val="32"/>
                <w:szCs w:val="32"/>
                <w:lang w:bidi="ar"/>
              </w:rPr>
              <w:t>2019年洪山区教育局部门项目绩效自评表</w:t>
            </w:r>
          </w:p>
        </w:tc>
      </w:tr>
      <w:tr>
        <w:tblPrEx>
          <w:tblCellMar>
            <w:top w:w="0" w:type="dxa"/>
            <w:left w:w="0" w:type="dxa"/>
            <w:bottom w:w="0" w:type="dxa"/>
            <w:right w:w="0" w:type="dxa"/>
          </w:tblCellMar>
        </w:tblPrEx>
        <w:trPr>
          <w:trHeight w:val="300" w:hRule="atLeast"/>
        </w:trPr>
        <w:tc>
          <w:tcPr>
            <w:tcW w:w="1080" w:type="dxa"/>
            <w:tcBorders>
              <w:top w:val="nil"/>
              <w:left w:val="nil"/>
              <w:bottom w:val="nil"/>
              <w:right w:val="nil"/>
            </w:tcBorders>
            <w:shd w:val="clear" w:color="auto" w:fill="auto"/>
            <w:tcMar>
              <w:top w:w="15" w:type="dxa"/>
              <w:left w:w="15" w:type="dxa"/>
              <w:right w:w="15" w:type="dxa"/>
            </w:tcMar>
            <w:vAlign w:val="bottom"/>
          </w:tcPr>
          <w:p>
            <w:pPr>
              <w:rPr>
                <w:rFonts w:ascii="Tahoma" w:hAnsi="Tahoma" w:eastAsia="Tahoma" w:cs="Tahoma"/>
                <w:color w:val="000000"/>
                <w:sz w:val="24"/>
              </w:rPr>
            </w:pPr>
          </w:p>
        </w:tc>
        <w:tc>
          <w:tcPr>
            <w:tcW w:w="1080" w:type="dxa"/>
            <w:tcBorders>
              <w:top w:val="nil"/>
              <w:left w:val="nil"/>
              <w:bottom w:val="nil"/>
              <w:right w:val="nil"/>
            </w:tcBorders>
            <w:shd w:val="clear" w:color="auto" w:fill="auto"/>
            <w:tcMar>
              <w:top w:w="15" w:type="dxa"/>
              <w:left w:w="15" w:type="dxa"/>
              <w:right w:w="15" w:type="dxa"/>
            </w:tcMar>
            <w:vAlign w:val="bottom"/>
          </w:tcPr>
          <w:p>
            <w:pPr>
              <w:rPr>
                <w:rFonts w:ascii="Tahoma" w:hAnsi="Tahoma" w:eastAsia="Tahoma" w:cs="Tahoma"/>
                <w:color w:val="000000"/>
                <w:sz w:val="24"/>
              </w:rPr>
            </w:pPr>
          </w:p>
        </w:tc>
        <w:tc>
          <w:tcPr>
            <w:tcW w:w="1080" w:type="dxa"/>
            <w:tcBorders>
              <w:top w:val="nil"/>
              <w:left w:val="nil"/>
              <w:bottom w:val="nil"/>
              <w:right w:val="nil"/>
            </w:tcBorders>
            <w:shd w:val="clear" w:color="auto" w:fill="auto"/>
            <w:tcMar>
              <w:top w:w="15" w:type="dxa"/>
              <w:left w:w="15" w:type="dxa"/>
              <w:right w:w="15" w:type="dxa"/>
            </w:tcMar>
            <w:vAlign w:val="bottom"/>
          </w:tcPr>
          <w:p>
            <w:pPr>
              <w:rPr>
                <w:rFonts w:ascii="Tahoma" w:hAnsi="Tahoma" w:eastAsia="Tahoma" w:cs="Tahoma"/>
                <w:color w:val="000000"/>
                <w:sz w:val="24"/>
              </w:rPr>
            </w:pPr>
          </w:p>
        </w:tc>
        <w:tc>
          <w:tcPr>
            <w:tcW w:w="2190" w:type="dxa"/>
            <w:tcBorders>
              <w:top w:val="nil"/>
              <w:left w:val="nil"/>
              <w:bottom w:val="nil"/>
              <w:right w:val="nil"/>
            </w:tcBorders>
            <w:shd w:val="clear" w:color="auto" w:fill="auto"/>
            <w:tcMar>
              <w:top w:w="15" w:type="dxa"/>
              <w:left w:w="15" w:type="dxa"/>
              <w:right w:w="15" w:type="dxa"/>
            </w:tcMar>
            <w:vAlign w:val="bottom"/>
          </w:tcPr>
          <w:p>
            <w:pPr>
              <w:rPr>
                <w:rFonts w:ascii="Tahoma" w:hAnsi="Tahoma" w:eastAsia="Tahoma" w:cs="Tahoma"/>
                <w:color w:val="000000"/>
                <w:sz w:val="24"/>
              </w:rPr>
            </w:pPr>
          </w:p>
        </w:tc>
        <w:tc>
          <w:tcPr>
            <w:tcW w:w="1523" w:type="dxa"/>
            <w:tcBorders>
              <w:top w:val="nil"/>
              <w:left w:val="nil"/>
              <w:bottom w:val="nil"/>
              <w:right w:val="nil"/>
            </w:tcBorders>
            <w:shd w:val="clear" w:color="auto" w:fill="auto"/>
            <w:tcMar>
              <w:top w:w="15" w:type="dxa"/>
              <w:left w:w="15" w:type="dxa"/>
              <w:right w:w="15" w:type="dxa"/>
            </w:tcMar>
            <w:vAlign w:val="bottom"/>
          </w:tcPr>
          <w:p>
            <w:pPr>
              <w:rPr>
                <w:rFonts w:ascii="Tahoma" w:hAnsi="Tahoma" w:eastAsia="Tahoma" w:cs="Tahoma"/>
                <w:color w:val="000000"/>
                <w:sz w:val="24"/>
              </w:rPr>
            </w:pPr>
          </w:p>
        </w:tc>
        <w:tc>
          <w:tcPr>
            <w:tcW w:w="1297" w:type="dxa"/>
            <w:tcBorders>
              <w:top w:val="nil"/>
              <w:left w:val="nil"/>
              <w:bottom w:val="nil"/>
              <w:right w:val="nil"/>
            </w:tcBorders>
            <w:shd w:val="clear" w:color="auto" w:fill="auto"/>
            <w:tcMar>
              <w:top w:w="15" w:type="dxa"/>
              <w:left w:w="15" w:type="dxa"/>
              <w:right w:w="15" w:type="dxa"/>
            </w:tcMar>
            <w:vAlign w:val="bottom"/>
          </w:tcPr>
          <w:p>
            <w:pPr>
              <w:rPr>
                <w:rFonts w:ascii="Tahoma" w:hAnsi="Tahoma" w:eastAsia="Tahoma" w:cs="Tahoma"/>
                <w:color w:val="000000"/>
                <w:sz w:val="24"/>
              </w:rPr>
            </w:pPr>
          </w:p>
        </w:tc>
        <w:tc>
          <w:tcPr>
            <w:tcW w:w="795" w:type="dxa"/>
            <w:tcBorders>
              <w:top w:val="nil"/>
              <w:left w:val="nil"/>
              <w:bottom w:val="nil"/>
              <w:right w:val="nil"/>
            </w:tcBorders>
            <w:shd w:val="clear" w:color="auto" w:fill="auto"/>
            <w:tcMar>
              <w:top w:w="15" w:type="dxa"/>
              <w:left w:w="15" w:type="dxa"/>
              <w:right w:w="15" w:type="dxa"/>
            </w:tcMar>
            <w:vAlign w:val="bottom"/>
          </w:tcPr>
          <w:p>
            <w:pPr>
              <w:rPr>
                <w:rFonts w:ascii="Tahoma" w:hAnsi="Tahoma" w:eastAsia="Tahoma" w:cs="Tahoma"/>
                <w:color w:val="000000"/>
                <w:sz w:val="24"/>
              </w:rPr>
            </w:pPr>
          </w:p>
        </w:tc>
      </w:tr>
      <w:tr>
        <w:tblPrEx>
          <w:tblCellMar>
            <w:top w:w="0" w:type="dxa"/>
            <w:left w:w="0" w:type="dxa"/>
            <w:bottom w:w="0" w:type="dxa"/>
            <w:right w:w="0"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项目名称</w:t>
            </w:r>
          </w:p>
        </w:tc>
        <w:tc>
          <w:tcPr>
            <w:tcW w:w="79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学校建设专项</w:t>
            </w:r>
          </w:p>
        </w:tc>
      </w:tr>
      <w:tr>
        <w:tblPrEx>
          <w:tblCellMar>
            <w:top w:w="0" w:type="dxa"/>
            <w:left w:w="0" w:type="dxa"/>
            <w:bottom w:w="0" w:type="dxa"/>
            <w:right w:w="0" w:type="dxa"/>
          </w:tblCellMar>
        </w:tblPrEx>
        <w:trPr>
          <w:trHeight w:val="73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项目主管部门</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洪山区教育局</w:t>
            </w: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项目执行单位</w:t>
            </w:r>
          </w:p>
        </w:tc>
        <w:tc>
          <w:tcPr>
            <w:tcW w:w="36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教育局房仪站</w:t>
            </w:r>
          </w:p>
        </w:tc>
      </w:tr>
      <w:tr>
        <w:tblPrEx>
          <w:tblCellMar>
            <w:top w:w="0" w:type="dxa"/>
            <w:left w:w="0" w:type="dxa"/>
            <w:bottom w:w="0" w:type="dxa"/>
            <w:right w:w="0" w:type="dxa"/>
          </w:tblCellMar>
        </w:tblPrEx>
        <w:trPr>
          <w:trHeight w:val="3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项目资金来源</w:t>
            </w: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资金来源项目</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预算数</w:t>
            </w:r>
          </w:p>
        </w:tc>
        <w:tc>
          <w:tcPr>
            <w:tcW w:w="1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执行数</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执行率</w:t>
            </w:r>
          </w:p>
        </w:tc>
      </w:tr>
      <w:tr>
        <w:tblPrEx>
          <w:tblCellMar>
            <w:top w:w="0" w:type="dxa"/>
            <w:left w:w="0" w:type="dxa"/>
            <w:bottom w:w="0" w:type="dxa"/>
            <w:right w:w="0"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财政拨款收入</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kern w:val="0"/>
                <w:sz w:val="24"/>
                <w:lang w:bidi="ar"/>
              </w:rPr>
              <w:t>19111.61</w:t>
            </w:r>
            <w:r>
              <w:rPr>
                <w:rFonts w:hint="eastAsia" w:ascii="宋体" w:hAnsi="宋体" w:cs="宋体"/>
                <w:color w:val="000000"/>
                <w:kern w:val="0"/>
                <w:sz w:val="24"/>
                <w:lang w:bidi="ar"/>
              </w:rPr>
              <w:t>万元</w:t>
            </w:r>
          </w:p>
        </w:tc>
        <w:tc>
          <w:tcPr>
            <w:tcW w:w="1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kern w:val="0"/>
                <w:sz w:val="24"/>
                <w:lang w:bidi="ar"/>
              </w:rPr>
              <w:t>19111.61</w:t>
            </w:r>
            <w:r>
              <w:rPr>
                <w:rFonts w:hint="eastAsia" w:ascii="宋体" w:hAnsi="宋体" w:cs="宋体"/>
                <w:color w:val="000000"/>
                <w:kern w:val="0"/>
                <w:sz w:val="24"/>
                <w:lang w:bidi="ar"/>
              </w:rPr>
              <w:t>万元</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 xml:space="preserve">  100%</w:t>
            </w:r>
          </w:p>
        </w:tc>
      </w:tr>
      <w:tr>
        <w:tblPrEx>
          <w:tblCellMar>
            <w:top w:w="0" w:type="dxa"/>
            <w:left w:w="0" w:type="dxa"/>
            <w:bottom w:w="0" w:type="dxa"/>
            <w:right w:w="0" w:type="dxa"/>
          </w:tblCellMar>
        </w:tblPrEx>
        <w:trPr>
          <w:trHeight w:val="394" w:hRule="atLeast"/>
        </w:trPr>
        <w:tc>
          <w:tcPr>
            <w:tcW w:w="108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项目绩效年度目标</w:t>
            </w:r>
          </w:p>
          <w:p>
            <w:pPr>
              <w:jc w:val="center"/>
              <w:rPr>
                <w:rFonts w:ascii="宋体" w:hAnsi="宋体" w:cs="宋体"/>
                <w:color w:val="000000"/>
                <w:sz w:val="24"/>
              </w:rPr>
            </w:pPr>
          </w:p>
        </w:tc>
        <w:tc>
          <w:tcPr>
            <w:tcW w:w="79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年度目标设定情况</w:t>
            </w:r>
          </w:p>
        </w:tc>
      </w:tr>
      <w:tr>
        <w:tblPrEx>
          <w:tblCellMar>
            <w:top w:w="0" w:type="dxa"/>
            <w:left w:w="0" w:type="dxa"/>
            <w:bottom w:w="0" w:type="dxa"/>
            <w:right w:w="0" w:type="dxa"/>
          </w:tblCellMar>
        </w:tblPrEx>
        <w:trPr>
          <w:trHeight w:val="1762"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79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80" w:firstLineChars="200"/>
              <w:jc w:val="left"/>
              <w:textAlignment w:val="center"/>
              <w:rPr>
                <w:rFonts w:ascii="宋体" w:hAnsi="宋体" w:cs="宋体"/>
                <w:color w:val="000000"/>
                <w:sz w:val="24"/>
              </w:rPr>
            </w:pPr>
            <w:r>
              <w:rPr>
                <w:rFonts w:hint="eastAsia" w:ascii="宋体" w:hAnsi="宋体" w:cs="宋体"/>
                <w:color w:val="000000"/>
                <w:sz w:val="24"/>
                <w:lang w:eastAsia="zh-CN"/>
              </w:rPr>
              <w:t>完成</w:t>
            </w:r>
            <w:r>
              <w:rPr>
                <w:rFonts w:hint="eastAsia" w:ascii="宋体" w:hAnsi="宋体" w:cs="宋体"/>
                <w:color w:val="000000"/>
                <w:sz w:val="24"/>
                <w:lang w:val="en-US" w:eastAsia="zh-CN"/>
              </w:rPr>
              <w:t>2所学校新建项目（洪山三小、洪山五小）并交付使用，</w:t>
            </w:r>
            <w:r>
              <w:rPr>
                <w:rFonts w:hint="eastAsia" w:ascii="宋体" w:hAnsi="宋体" w:cs="宋体"/>
                <w:color w:val="000000"/>
                <w:sz w:val="24"/>
                <w:lang w:eastAsia="zh-CN"/>
              </w:rPr>
              <w:t>开始</w:t>
            </w:r>
            <w:r>
              <w:rPr>
                <w:rFonts w:hint="eastAsia" w:ascii="宋体" w:hAnsi="宋体" w:cs="宋体"/>
                <w:color w:val="000000"/>
                <w:sz w:val="24"/>
              </w:rPr>
              <w:t>3所学校新建项目（洪山区实验小学南校区、卓刀泉中学张家湾分校、洪山区实验中学）</w:t>
            </w:r>
            <w:r>
              <w:rPr>
                <w:rFonts w:hint="eastAsia" w:ascii="宋体" w:hAnsi="宋体" w:cs="宋体"/>
                <w:color w:val="000000"/>
                <w:sz w:val="24"/>
                <w:lang w:eastAsia="zh-CN"/>
              </w:rPr>
              <w:t>以及</w:t>
            </w:r>
            <w:r>
              <w:rPr>
                <w:rFonts w:hint="eastAsia" w:ascii="宋体" w:hAnsi="宋体" w:cs="宋体"/>
                <w:color w:val="000000"/>
                <w:sz w:val="24"/>
              </w:rPr>
              <w:t>2所老校改扩建（马房山中学、鲁巷中学），学校从设计到建设本着示范性、特色性、人文性的理念，为学生持续发展奠定良好基础。</w:t>
            </w:r>
          </w:p>
        </w:tc>
      </w:tr>
      <w:tr>
        <w:tblPrEx>
          <w:tblCellMar>
            <w:top w:w="0" w:type="dxa"/>
            <w:left w:w="0" w:type="dxa"/>
            <w:bottom w:w="0" w:type="dxa"/>
            <w:right w:w="0" w:type="dxa"/>
          </w:tblCellMar>
        </w:tblPrEx>
        <w:trPr>
          <w:trHeight w:val="487"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79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年度目标完成情况</w:t>
            </w:r>
          </w:p>
        </w:tc>
      </w:tr>
      <w:tr>
        <w:tblPrEx>
          <w:tblCellMar>
            <w:top w:w="0" w:type="dxa"/>
            <w:left w:w="0" w:type="dxa"/>
            <w:bottom w:w="0" w:type="dxa"/>
            <w:right w:w="0" w:type="dxa"/>
          </w:tblCellMar>
        </w:tblPrEx>
        <w:trPr>
          <w:trHeight w:val="1695"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79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80" w:firstLineChars="200"/>
              <w:jc w:val="left"/>
              <w:textAlignment w:val="center"/>
              <w:rPr>
                <w:rFonts w:ascii="宋体" w:hAnsi="宋体" w:cs="宋体"/>
                <w:color w:val="000000"/>
                <w:sz w:val="24"/>
              </w:rPr>
            </w:pPr>
            <w:r>
              <w:rPr>
                <w:rFonts w:hint="eastAsia" w:ascii="宋体" w:hAnsi="宋体" w:cs="宋体"/>
                <w:color w:val="000000"/>
                <w:sz w:val="24"/>
              </w:rPr>
              <w:t>有效改善了南湖片、张家湾片的办学环境，办学条件提高显著。</w:t>
            </w:r>
          </w:p>
        </w:tc>
      </w:tr>
      <w:tr>
        <w:tblPrEx>
          <w:tblCellMar>
            <w:top w:w="0" w:type="dxa"/>
            <w:left w:w="0" w:type="dxa"/>
            <w:bottom w:w="0" w:type="dxa"/>
            <w:right w:w="0" w:type="dxa"/>
          </w:tblCellMar>
        </w:tblPrEx>
        <w:trPr>
          <w:trHeight w:val="468"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79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绩效成效</w:t>
            </w:r>
          </w:p>
        </w:tc>
      </w:tr>
      <w:tr>
        <w:tblPrEx>
          <w:tblCellMar>
            <w:top w:w="0" w:type="dxa"/>
            <w:left w:w="0" w:type="dxa"/>
            <w:bottom w:w="0" w:type="dxa"/>
            <w:right w:w="0" w:type="dxa"/>
          </w:tblCellMar>
        </w:tblPrEx>
        <w:trPr>
          <w:trHeight w:val="1752"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79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80" w:firstLineChars="200"/>
              <w:jc w:val="left"/>
              <w:textAlignment w:val="center"/>
              <w:rPr>
                <w:rFonts w:ascii="宋体" w:hAnsi="宋体" w:cs="宋体"/>
                <w:color w:val="000000"/>
                <w:sz w:val="24"/>
              </w:rPr>
            </w:pPr>
            <w:r>
              <w:rPr>
                <w:rFonts w:hint="eastAsia" w:ascii="宋体" w:hAnsi="宋体" w:cs="宋体"/>
                <w:color w:val="000000"/>
                <w:sz w:val="24"/>
              </w:rPr>
              <w:t>满足周边居民入学难问题，区域辐射力与影响力显著提高。</w:t>
            </w:r>
          </w:p>
        </w:tc>
      </w:tr>
      <w:tr>
        <w:tblPrEx>
          <w:tblCellMar>
            <w:top w:w="0" w:type="dxa"/>
            <w:left w:w="0" w:type="dxa"/>
            <w:bottom w:w="0" w:type="dxa"/>
            <w:right w:w="0" w:type="dxa"/>
          </w:tblCellMar>
        </w:tblPrEx>
        <w:trPr>
          <w:trHeight w:val="414"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79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发现的问题及原因</w:t>
            </w:r>
          </w:p>
        </w:tc>
      </w:tr>
      <w:tr>
        <w:tblPrEx>
          <w:tblCellMar>
            <w:top w:w="0" w:type="dxa"/>
            <w:left w:w="0" w:type="dxa"/>
            <w:bottom w:w="0" w:type="dxa"/>
            <w:right w:w="0" w:type="dxa"/>
          </w:tblCellMar>
        </w:tblPrEx>
        <w:trPr>
          <w:trHeight w:val="2038"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79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4"/>
                <w:lang w:bidi="ar"/>
              </w:rPr>
            </w:pPr>
          </w:p>
        </w:tc>
      </w:tr>
      <w:tr>
        <w:tblPrEx>
          <w:tblCellMar>
            <w:top w:w="0" w:type="dxa"/>
            <w:left w:w="0" w:type="dxa"/>
            <w:bottom w:w="0" w:type="dxa"/>
            <w:right w:w="0" w:type="dxa"/>
          </w:tblCellMar>
        </w:tblPrEx>
        <w:trPr>
          <w:trHeight w:val="394"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79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加强预算绩效管理的建议</w:t>
            </w:r>
          </w:p>
        </w:tc>
      </w:tr>
      <w:tr>
        <w:tblPrEx>
          <w:tblCellMar>
            <w:top w:w="0" w:type="dxa"/>
            <w:left w:w="0" w:type="dxa"/>
            <w:bottom w:w="0" w:type="dxa"/>
            <w:right w:w="0" w:type="dxa"/>
          </w:tblCellMar>
        </w:tblPrEx>
        <w:trPr>
          <w:trHeight w:val="1882" w:hRule="atLeast"/>
        </w:trPr>
        <w:tc>
          <w:tcPr>
            <w:tcW w:w="108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79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4"/>
                <w:lang w:bidi="ar"/>
              </w:rPr>
            </w:pPr>
          </w:p>
        </w:tc>
      </w:tr>
      <w:tr>
        <w:tblPrEx>
          <w:tblCellMar>
            <w:top w:w="0" w:type="dxa"/>
            <w:left w:w="0" w:type="dxa"/>
            <w:bottom w:w="0" w:type="dxa"/>
            <w:right w:w="0" w:type="dxa"/>
          </w:tblCellMar>
        </w:tblPrEx>
        <w:trPr>
          <w:trHeight w:val="405" w:hRule="atLeast"/>
        </w:trPr>
        <w:tc>
          <w:tcPr>
            <w:tcW w:w="9045" w:type="dxa"/>
            <w:gridSpan w:val="7"/>
            <w:tcBorders>
              <w:top w:val="nil"/>
              <w:left w:val="nil"/>
              <w:bottom w:val="nil"/>
              <w:right w:val="nil"/>
            </w:tcBorders>
            <w:shd w:val="clear" w:color="auto" w:fill="auto"/>
            <w:tcMar>
              <w:top w:w="15" w:type="dxa"/>
              <w:left w:w="15" w:type="dxa"/>
              <w:right w:w="15" w:type="dxa"/>
            </w:tcMar>
            <w:vAlign w:val="bottom"/>
          </w:tcPr>
          <w:p>
            <w:pPr>
              <w:widowControl/>
              <w:jc w:val="center"/>
              <w:textAlignment w:val="bottom"/>
              <w:rPr>
                <w:rFonts w:ascii="宋体" w:hAnsi="宋体" w:cs="宋体"/>
                <w:color w:val="000000"/>
                <w:kern w:val="0"/>
                <w:sz w:val="32"/>
                <w:szCs w:val="32"/>
                <w:lang w:bidi="ar"/>
              </w:rPr>
            </w:pPr>
          </w:p>
          <w:p>
            <w:pPr>
              <w:widowControl/>
              <w:jc w:val="center"/>
              <w:textAlignment w:val="bottom"/>
              <w:rPr>
                <w:rFonts w:ascii="宋体" w:hAnsi="宋体" w:cs="宋体"/>
                <w:color w:val="000000"/>
                <w:sz w:val="32"/>
                <w:szCs w:val="32"/>
              </w:rPr>
            </w:pPr>
            <w:r>
              <w:rPr>
                <w:rFonts w:hint="eastAsia" w:ascii="宋体" w:hAnsi="宋体" w:cs="宋体"/>
                <w:color w:val="000000"/>
                <w:kern w:val="0"/>
                <w:sz w:val="32"/>
                <w:szCs w:val="32"/>
                <w:lang w:bidi="ar"/>
              </w:rPr>
              <w:t>2019年洪山区教育局部门项目绩效自评表</w:t>
            </w:r>
          </w:p>
        </w:tc>
      </w:tr>
      <w:tr>
        <w:tblPrEx>
          <w:tblCellMar>
            <w:top w:w="0" w:type="dxa"/>
            <w:left w:w="0" w:type="dxa"/>
            <w:bottom w:w="0" w:type="dxa"/>
            <w:right w:w="0" w:type="dxa"/>
          </w:tblCellMar>
        </w:tblPrEx>
        <w:trPr>
          <w:trHeight w:val="300" w:hRule="atLeast"/>
        </w:trPr>
        <w:tc>
          <w:tcPr>
            <w:tcW w:w="1080" w:type="dxa"/>
            <w:tcBorders>
              <w:top w:val="nil"/>
              <w:left w:val="nil"/>
              <w:bottom w:val="nil"/>
              <w:right w:val="nil"/>
            </w:tcBorders>
            <w:shd w:val="clear" w:color="auto" w:fill="auto"/>
            <w:tcMar>
              <w:top w:w="15" w:type="dxa"/>
              <w:left w:w="15" w:type="dxa"/>
              <w:right w:w="15" w:type="dxa"/>
            </w:tcMar>
            <w:vAlign w:val="bottom"/>
          </w:tcPr>
          <w:p>
            <w:pPr>
              <w:rPr>
                <w:rFonts w:ascii="Tahoma" w:hAnsi="Tahoma" w:eastAsia="Tahoma" w:cs="Tahoma"/>
                <w:color w:val="000000"/>
                <w:sz w:val="24"/>
              </w:rPr>
            </w:pPr>
          </w:p>
        </w:tc>
        <w:tc>
          <w:tcPr>
            <w:tcW w:w="1080" w:type="dxa"/>
            <w:tcBorders>
              <w:top w:val="nil"/>
              <w:left w:val="nil"/>
              <w:bottom w:val="nil"/>
              <w:right w:val="nil"/>
            </w:tcBorders>
            <w:shd w:val="clear" w:color="auto" w:fill="auto"/>
            <w:tcMar>
              <w:top w:w="15" w:type="dxa"/>
              <w:left w:w="15" w:type="dxa"/>
              <w:right w:w="15" w:type="dxa"/>
            </w:tcMar>
            <w:vAlign w:val="bottom"/>
          </w:tcPr>
          <w:p>
            <w:pPr>
              <w:rPr>
                <w:rFonts w:ascii="Tahoma" w:hAnsi="Tahoma" w:eastAsia="Tahoma" w:cs="Tahoma"/>
                <w:color w:val="000000"/>
                <w:sz w:val="24"/>
              </w:rPr>
            </w:pPr>
          </w:p>
        </w:tc>
        <w:tc>
          <w:tcPr>
            <w:tcW w:w="1080" w:type="dxa"/>
            <w:tcBorders>
              <w:top w:val="nil"/>
              <w:left w:val="nil"/>
              <w:bottom w:val="nil"/>
              <w:right w:val="nil"/>
            </w:tcBorders>
            <w:shd w:val="clear" w:color="auto" w:fill="auto"/>
            <w:tcMar>
              <w:top w:w="15" w:type="dxa"/>
              <w:left w:w="15" w:type="dxa"/>
              <w:right w:w="15" w:type="dxa"/>
            </w:tcMar>
            <w:vAlign w:val="bottom"/>
          </w:tcPr>
          <w:p>
            <w:pPr>
              <w:rPr>
                <w:rFonts w:ascii="Tahoma" w:hAnsi="Tahoma" w:eastAsia="Tahoma" w:cs="Tahoma"/>
                <w:color w:val="000000"/>
                <w:sz w:val="24"/>
              </w:rPr>
            </w:pPr>
          </w:p>
        </w:tc>
        <w:tc>
          <w:tcPr>
            <w:tcW w:w="2190" w:type="dxa"/>
            <w:tcBorders>
              <w:top w:val="nil"/>
              <w:left w:val="nil"/>
              <w:bottom w:val="nil"/>
              <w:right w:val="nil"/>
            </w:tcBorders>
            <w:shd w:val="clear" w:color="auto" w:fill="auto"/>
            <w:tcMar>
              <w:top w:w="15" w:type="dxa"/>
              <w:left w:w="15" w:type="dxa"/>
              <w:right w:w="15" w:type="dxa"/>
            </w:tcMar>
            <w:vAlign w:val="bottom"/>
          </w:tcPr>
          <w:p>
            <w:pPr>
              <w:rPr>
                <w:rFonts w:ascii="Tahoma" w:hAnsi="Tahoma" w:eastAsia="Tahoma" w:cs="Tahoma"/>
                <w:color w:val="000000"/>
                <w:sz w:val="24"/>
              </w:rPr>
            </w:pPr>
          </w:p>
        </w:tc>
        <w:tc>
          <w:tcPr>
            <w:tcW w:w="1523" w:type="dxa"/>
            <w:tcBorders>
              <w:top w:val="nil"/>
              <w:left w:val="nil"/>
              <w:bottom w:val="nil"/>
              <w:right w:val="nil"/>
            </w:tcBorders>
            <w:shd w:val="clear" w:color="auto" w:fill="auto"/>
            <w:tcMar>
              <w:top w:w="15" w:type="dxa"/>
              <w:left w:w="15" w:type="dxa"/>
              <w:right w:w="15" w:type="dxa"/>
            </w:tcMar>
            <w:vAlign w:val="bottom"/>
          </w:tcPr>
          <w:p>
            <w:pPr>
              <w:rPr>
                <w:rFonts w:ascii="Tahoma" w:hAnsi="Tahoma" w:eastAsia="Tahoma" w:cs="Tahoma"/>
                <w:color w:val="000000"/>
                <w:sz w:val="24"/>
              </w:rPr>
            </w:pPr>
          </w:p>
        </w:tc>
        <w:tc>
          <w:tcPr>
            <w:tcW w:w="1297" w:type="dxa"/>
            <w:tcBorders>
              <w:top w:val="nil"/>
              <w:left w:val="nil"/>
              <w:bottom w:val="nil"/>
              <w:right w:val="nil"/>
            </w:tcBorders>
            <w:shd w:val="clear" w:color="auto" w:fill="auto"/>
            <w:tcMar>
              <w:top w:w="15" w:type="dxa"/>
              <w:left w:w="15" w:type="dxa"/>
              <w:right w:w="15" w:type="dxa"/>
            </w:tcMar>
            <w:vAlign w:val="bottom"/>
          </w:tcPr>
          <w:p>
            <w:pPr>
              <w:rPr>
                <w:rFonts w:ascii="Tahoma" w:hAnsi="Tahoma" w:eastAsia="Tahoma" w:cs="Tahoma"/>
                <w:color w:val="000000"/>
                <w:sz w:val="24"/>
              </w:rPr>
            </w:pPr>
          </w:p>
        </w:tc>
        <w:tc>
          <w:tcPr>
            <w:tcW w:w="795" w:type="dxa"/>
            <w:tcBorders>
              <w:top w:val="nil"/>
              <w:left w:val="nil"/>
              <w:bottom w:val="nil"/>
              <w:right w:val="nil"/>
            </w:tcBorders>
            <w:shd w:val="clear" w:color="auto" w:fill="auto"/>
            <w:tcMar>
              <w:top w:w="15" w:type="dxa"/>
              <w:left w:w="15" w:type="dxa"/>
              <w:right w:w="15" w:type="dxa"/>
            </w:tcMar>
            <w:vAlign w:val="bottom"/>
          </w:tcPr>
          <w:p>
            <w:pPr>
              <w:rPr>
                <w:rFonts w:ascii="Tahoma" w:hAnsi="Tahoma" w:eastAsia="Tahoma" w:cs="Tahoma"/>
                <w:color w:val="000000"/>
                <w:sz w:val="24"/>
              </w:rPr>
            </w:pPr>
          </w:p>
        </w:tc>
      </w:tr>
      <w:tr>
        <w:tblPrEx>
          <w:tblCellMar>
            <w:top w:w="0" w:type="dxa"/>
            <w:left w:w="0" w:type="dxa"/>
            <w:bottom w:w="0" w:type="dxa"/>
            <w:right w:w="0"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项目名称</w:t>
            </w:r>
          </w:p>
        </w:tc>
        <w:tc>
          <w:tcPr>
            <w:tcW w:w="79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后勤服务专项</w:t>
            </w:r>
          </w:p>
        </w:tc>
      </w:tr>
      <w:tr>
        <w:tblPrEx>
          <w:tblCellMar>
            <w:top w:w="0" w:type="dxa"/>
            <w:left w:w="0" w:type="dxa"/>
            <w:bottom w:w="0" w:type="dxa"/>
            <w:right w:w="0" w:type="dxa"/>
          </w:tblCellMar>
        </w:tblPrEx>
        <w:trPr>
          <w:trHeight w:val="73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项目主管部门</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洪山区教育局</w:t>
            </w: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项目执行单位</w:t>
            </w:r>
          </w:p>
        </w:tc>
        <w:tc>
          <w:tcPr>
            <w:tcW w:w="36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教育局勤工俭学办公室</w:t>
            </w:r>
          </w:p>
        </w:tc>
      </w:tr>
      <w:tr>
        <w:tblPrEx>
          <w:tblCellMar>
            <w:top w:w="0" w:type="dxa"/>
            <w:left w:w="0" w:type="dxa"/>
            <w:bottom w:w="0" w:type="dxa"/>
            <w:right w:w="0" w:type="dxa"/>
          </w:tblCellMar>
        </w:tblPrEx>
        <w:trPr>
          <w:trHeight w:val="3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项目资金来源</w:t>
            </w: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资金来源项目</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预算数</w:t>
            </w:r>
          </w:p>
        </w:tc>
        <w:tc>
          <w:tcPr>
            <w:tcW w:w="1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执行数</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执行率</w:t>
            </w:r>
          </w:p>
        </w:tc>
      </w:tr>
      <w:tr>
        <w:tblPrEx>
          <w:tblCellMar>
            <w:top w:w="0" w:type="dxa"/>
            <w:left w:w="0" w:type="dxa"/>
            <w:bottom w:w="0" w:type="dxa"/>
            <w:right w:w="0"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财政拨款收入</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kern w:val="0"/>
                <w:sz w:val="24"/>
                <w:lang w:bidi="ar"/>
              </w:rPr>
              <w:t>998.75</w:t>
            </w:r>
            <w:r>
              <w:rPr>
                <w:rFonts w:hint="eastAsia" w:ascii="宋体" w:hAnsi="宋体" w:cs="宋体"/>
                <w:color w:val="000000"/>
                <w:kern w:val="0"/>
                <w:sz w:val="24"/>
                <w:lang w:bidi="ar"/>
              </w:rPr>
              <w:t>万元</w:t>
            </w:r>
          </w:p>
        </w:tc>
        <w:tc>
          <w:tcPr>
            <w:tcW w:w="1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rPr>
              <w:t>998.75</w:t>
            </w:r>
            <w:r>
              <w:rPr>
                <w:rFonts w:hint="eastAsia" w:ascii="宋体" w:hAnsi="宋体" w:cs="宋体"/>
                <w:color w:val="000000"/>
                <w:sz w:val="24"/>
                <w:lang w:eastAsia="zh-CN"/>
              </w:rPr>
              <w:t>万元</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 xml:space="preserve">100%   </w:t>
            </w:r>
          </w:p>
        </w:tc>
      </w:tr>
      <w:tr>
        <w:tblPrEx>
          <w:tblCellMar>
            <w:top w:w="0" w:type="dxa"/>
            <w:left w:w="0" w:type="dxa"/>
            <w:bottom w:w="0" w:type="dxa"/>
            <w:right w:w="0" w:type="dxa"/>
          </w:tblCellMar>
        </w:tblPrEx>
        <w:trPr>
          <w:trHeight w:val="394" w:hRule="atLeast"/>
        </w:trPr>
        <w:tc>
          <w:tcPr>
            <w:tcW w:w="108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项目绩效年度目标</w:t>
            </w:r>
          </w:p>
          <w:p>
            <w:pPr>
              <w:jc w:val="center"/>
              <w:rPr>
                <w:rFonts w:ascii="宋体" w:hAnsi="宋体" w:cs="宋体"/>
                <w:color w:val="000000"/>
                <w:sz w:val="24"/>
              </w:rPr>
            </w:pPr>
          </w:p>
        </w:tc>
        <w:tc>
          <w:tcPr>
            <w:tcW w:w="79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年度目标设定情况</w:t>
            </w:r>
          </w:p>
        </w:tc>
      </w:tr>
      <w:tr>
        <w:tblPrEx>
          <w:tblCellMar>
            <w:top w:w="0" w:type="dxa"/>
            <w:left w:w="0" w:type="dxa"/>
            <w:bottom w:w="0" w:type="dxa"/>
            <w:right w:w="0" w:type="dxa"/>
          </w:tblCellMar>
        </w:tblPrEx>
        <w:trPr>
          <w:trHeight w:val="1762"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79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80" w:firstLineChars="200"/>
              <w:jc w:val="left"/>
              <w:textAlignment w:val="center"/>
              <w:rPr>
                <w:rFonts w:ascii="宋体" w:hAnsi="宋体" w:cs="宋体"/>
                <w:color w:val="000000"/>
                <w:sz w:val="24"/>
              </w:rPr>
            </w:pPr>
            <w:r>
              <w:rPr>
                <w:rFonts w:hint="eastAsia" w:ascii="宋体" w:hAnsi="宋体" w:cs="宋体"/>
                <w:color w:val="000000"/>
                <w:sz w:val="24"/>
              </w:rPr>
              <w:t>以全心全意的服务宗旨，严格履行工作职能，全面做好服务学校、服务师生的工作；以科学严谨的工作态度、积极务实的工作作风，为学校教学秩序、教学环境提供全方位的保障服务。</w:t>
            </w:r>
          </w:p>
        </w:tc>
      </w:tr>
      <w:tr>
        <w:tblPrEx>
          <w:tblCellMar>
            <w:top w:w="0" w:type="dxa"/>
            <w:left w:w="0" w:type="dxa"/>
            <w:bottom w:w="0" w:type="dxa"/>
            <w:right w:w="0" w:type="dxa"/>
          </w:tblCellMar>
        </w:tblPrEx>
        <w:trPr>
          <w:trHeight w:val="487"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79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年度目标完成情况</w:t>
            </w:r>
          </w:p>
        </w:tc>
      </w:tr>
      <w:tr>
        <w:tblPrEx>
          <w:tblCellMar>
            <w:top w:w="0" w:type="dxa"/>
            <w:left w:w="0" w:type="dxa"/>
            <w:bottom w:w="0" w:type="dxa"/>
            <w:right w:w="0" w:type="dxa"/>
          </w:tblCellMar>
        </w:tblPrEx>
        <w:trPr>
          <w:trHeight w:val="1695"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79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80" w:firstLineChars="200"/>
              <w:jc w:val="left"/>
              <w:textAlignment w:val="center"/>
              <w:rPr>
                <w:rFonts w:ascii="宋体" w:hAnsi="宋体" w:cs="宋体"/>
                <w:color w:val="000000"/>
                <w:sz w:val="24"/>
              </w:rPr>
            </w:pPr>
            <w:r>
              <w:rPr>
                <w:rFonts w:hint="eastAsia" w:ascii="宋体" w:hAnsi="宋体" w:cs="宋体"/>
                <w:color w:val="000000"/>
                <w:sz w:val="24"/>
              </w:rPr>
              <w:t>完成全区政府办学校教师上下班工作用车工作，全年无安全事故、无各类投诉；做到全区政府办学校学生校责险、教师的责任保险无掉保、漏保；按学校实际需求，积极配合学校直饮水设备装备工作；严格依据国家、省、市有关学生直饮水水质要求，切实落实全区政府办学校直饮水水质检测工作。</w:t>
            </w:r>
          </w:p>
        </w:tc>
      </w:tr>
      <w:tr>
        <w:tblPrEx>
          <w:tblCellMar>
            <w:top w:w="0" w:type="dxa"/>
            <w:left w:w="0" w:type="dxa"/>
            <w:bottom w:w="0" w:type="dxa"/>
            <w:right w:w="0" w:type="dxa"/>
          </w:tblCellMar>
        </w:tblPrEx>
        <w:trPr>
          <w:trHeight w:val="468"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79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绩效成效</w:t>
            </w:r>
          </w:p>
        </w:tc>
      </w:tr>
      <w:tr>
        <w:tblPrEx>
          <w:tblCellMar>
            <w:top w:w="0" w:type="dxa"/>
            <w:left w:w="0" w:type="dxa"/>
            <w:bottom w:w="0" w:type="dxa"/>
            <w:right w:w="0" w:type="dxa"/>
          </w:tblCellMar>
        </w:tblPrEx>
        <w:trPr>
          <w:trHeight w:val="1752"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79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80" w:firstLineChars="200"/>
              <w:jc w:val="left"/>
              <w:textAlignment w:val="center"/>
              <w:rPr>
                <w:rFonts w:ascii="宋体" w:hAnsi="宋体" w:cs="宋体"/>
                <w:color w:val="000000"/>
                <w:sz w:val="24"/>
              </w:rPr>
            </w:pPr>
            <w:r>
              <w:rPr>
                <w:rFonts w:hint="eastAsia" w:ascii="宋体" w:hAnsi="宋体" w:cs="宋体"/>
                <w:color w:val="000000"/>
                <w:sz w:val="24"/>
              </w:rPr>
              <w:t>1、全年教师上下班工作用车共使用36台；</w:t>
            </w:r>
          </w:p>
          <w:p>
            <w:pPr>
              <w:widowControl/>
              <w:ind w:firstLine="480" w:firstLineChars="200"/>
              <w:jc w:val="left"/>
              <w:textAlignment w:val="center"/>
              <w:rPr>
                <w:rFonts w:ascii="宋体" w:hAnsi="宋体" w:cs="宋体"/>
                <w:color w:val="000000"/>
                <w:sz w:val="24"/>
              </w:rPr>
            </w:pPr>
            <w:r>
              <w:rPr>
                <w:rFonts w:hint="eastAsia" w:ascii="宋体" w:hAnsi="宋体" w:cs="宋体"/>
                <w:color w:val="000000"/>
                <w:sz w:val="24"/>
              </w:rPr>
              <w:t>2、全年共为政府办学校学生近7万名，在职在岗教师5千人，提供责任保险保障；</w:t>
            </w:r>
          </w:p>
          <w:p>
            <w:pPr>
              <w:widowControl/>
              <w:ind w:firstLine="480" w:firstLineChars="200"/>
              <w:jc w:val="left"/>
              <w:textAlignment w:val="center"/>
              <w:rPr>
                <w:rFonts w:ascii="宋体" w:hAnsi="宋体" w:cs="宋体"/>
                <w:color w:val="000000"/>
                <w:sz w:val="24"/>
              </w:rPr>
            </w:pPr>
            <w:r>
              <w:rPr>
                <w:rFonts w:hint="eastAsia" w:ascii="宋体" w:hAnsi="宋体" w:cs="宋体"/>
                <w:color w:val="000000"/>
                <w:sz w:val="24"/>
              </w:rPr>
              <w:t>3、全年共对10多所学校增配、更换设备42台；对全区直饮水设备检测900台次。</w:t>
            </w:r>
          </w:p>
        </w:tc>
      </w:tr>
      <w:tr>
        <w:tblPrEx>
          <w:tblCellMar>
            <w:top w:w="0" w:type="dxa"/>
            <w:left w:w="0" w:type="dxa"/>
            <w:bottom w:w="0" w:type="dxa"/>
            <w:right w:w="0" w:type="dxa"/>
          </w:tblCellMar>
        </w:tblPrEx>
        <w:trPr>
          <w:trHeight w:val="414"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79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发现的问题及原因</w:t>
            </w:r>
          </w:p>
        </w:tc>
      </w:tr>
      <w:tr>
        <w:tblPrEx>
          <w:tblCellMar>
            <w:top w:w="0" w:type="dxa"/>
            <w:left w:w="0" w:type="dxa"/>
            <w:bottom w:w="0" w:type="dxa"/>
            <w:right w:w="0" w:type="dxa"/>
          </w:tblCellMar>
        </w:tblPrEx>
        <w:trPr>
          <w:trHeight w:val="2038"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79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4"/>
                <w:lang w:bidi="ar"/>
              </w:rPr>
            </w:pPr>
          </w:p>
        </w:tc>
      </w:tr>
      <w:tr>
        <w:tblPrEx>
          <w:tblCellMar>
            <w:top w:w="0" w:type="dxa"/>
            <w:left w:w="0" w:type="dxa"/>
            <w:bottom w:w="0" w:type="dxa"/>
            <w:right w:w="0" w:type="dxa"/>
          </w:tblCellMar>
        </w:tblPrEx>
        <w:trPr>
          <w:trHeight w:val="394"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79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加强预算绩效管理的建议</w:t>
            </w:r>
          </w:p>
        </w:tc>
      </w:tr>
      <w:tr>
        <w:tblPrEx>
          <w:tblCellMar>
            <w:top w:w="0" w:type="dxa"/>
            <w:left w:w="0" w:type="dxa"/>
            <w:bottom w:w="0" w:type="dxa"/>
            <w:right w:w="0" w:type="dxa"/>
          </w:tblCellMar>
        </w:tblPrEx>
        <w:trPr>
          <w:trHeight w:val="1882" w:hRule="atLeast"/>
        </w:trPr>
        <w:tc>
          <w:tcPr>
            <w:tcW w:w="108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79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4"/>
                <w:lang w:bidi="ar"/>
              </w:rPr>
            </w:pPr>
          </w:p>
        </w:tc>
      </w:tr>
    </w:tbl>
    <w:p/>
    <w:tbl>
      <w:tblPr>
        <w:tblStyle w:val="5"/>
        <w:tblW w:w="9045" w:type="dxa"/>
        <w:tblInd w:w="0" w:type="dxa"/>
        <w:tblLayout w:type="fixed"/>
        <w:tblCellMar>
          <w:top w:w="0" w:type="dxa"/>
          <w:left w:w="0" w:type="dxa"/>
          <w:bottom w:w="0" w:type="dxa"/>
          <w:right w:w="0" w:type="dxa"/>
        </w:tblCellMar>
      </w:tblPr>
      <w:tblGrid>
        <w:gridCol w:w="1080"/>
        <w:gridCol w:w="1080"/>
        <w:gridCol w:w="1080"/>
        <w:gridCol w:w="2190"/>
        <w:gridCol w:w="1523"/>
        <w:gridCol w:w="1297"/>
        <w:gridCol w:w="795"/>
      </w:tblGrid>
      <w:tr>
        <w:tblPrEx>
          <w:tblCellMar>
            <w:top w:w="0" w:type="dxa"/>
            <w:left w:w="0" w:type="dxa"/>
            <w:bottom w:w="0" w:type="dxa"/>
            <w:right w:w="0" w:type="dxa"/>
          </w:tblCellMar>
        </w:tblPrEx>
        <w:trPr>
          <w:trHeight w:val="405" w:hRule="atLeast"/>
        </w:trPr>
        <w:tc>
          <w:tcPr>
            <w:tcW w:w="9045" w:type="dxa"/>
            <w:gridSpan w:val="7"/>
            <w:tcBorders>
              <w:top w:val="nil"/>
              <w:left w:val="nil"/>
              <w:bottom w:val="nil"/>
              <w:right w:val="nil"/>
            </w:tcBorders>
            <w:shd w:val="clear" w:color="auto" w:fill="auto"/>
            <w:tcMar>
              <w:top w:w="15" w:type="dxa"/>
              <w:left w:w="15" w:type="dxa"/>
              <w:right w:w="15" w:type="dxa"/>
            </w:tcMar>
            <w:vAlign w:val="bottom"/>
          </w:tcPr>
          <w:p>
            <w:pPr>
              <w:widowControl/>
              <w:jc w:val="center"/>
              <w:textAlignment w:val="bottom"/>
              <w:rPr>
                <w:rFonts w:ascii="宋体" w:hAnsi="宋体" w:cs="宋体"/>
                <w:color w:val="000000"/>
                <w:kern w:val="0"/>
                <w:sz w:val="32"/>
                <w:szCs w:val="32"/>
                <w:lang w:bidi="ar"/>
              </w:rPr>
            </w:pPr>
          </w:p>
          <w:p>
            <w:pPr>
              <w:widowControl/>
              <w:jc w:val="center"/>
              <w:textAlignment w:val="bottom"/>
              <w:rPr>
                <w:rFonts w:ascii="宋体" w:hAnsi="宋体" w:cs="宋体"/>
                <w:color w:val="000000"/>
                <w:sz w:val="32"/>
                <w:szCs w:val="32"/>
              </w:rPr>
            </w:pPr>
            <w:r>
              <w:rPr>
                <w:rFonts w:hint="eastAsia" w:ascii="宋体" w:hAnsi="宋体" w:cs="宋体"/>
                <w:color w:val="000000"/>
                <w:kern w:val="0"/>
                <w:sz w:val="32"/>
                <w:szCs w:val="32"/>
                <w:lang w:bidi="ar"/>
              </w:rPr>
              <w:t>2019年洪山区教育局部门项目绩效自评表</w:t>
            </w:r>
          </w:p>
        </w:tc>
      </w:tr>
      <w:tr>
        <w:tblPrEx>
          <w:tblCellMar>
            <w:top w:w="0" w:type="dxa"/>
            <w:left w:w="0" w:type="dxa"/>
            <w:bottom w:w="0" w:type="dxa"/>
            <w:right w:w="0" w:type="dxa"/>
          </w:tblCellMar>
        </w:tblPrEx>
        <w:trPr>
          <w:trHeight w:val="300" w:hRule="atLeast"/>
        </w:trPr>
        <w:tc>
          <w:tcPr>
            <w:tcW w:w="1080" w:type="dxa"/>
            <w:tcBorders>
              <w:top w:val="nil"/>
              <w:left w:val="nil"/>
              <w:bottom w:val="nil"/>
              <w:right w:val="nil"/>
            </w:tcBorders>
            <w:shd w:val="clear" w:color="auto" w:fill="auto"/>
            <w:tcMar>
              <w:top w:w="15" w:type="dxa"/>
              <w:left w:w="15" w:type="dxa"/>
              <w:right w:w="15" w:type="dxa"/>
            </w:tcMar>
            <w:vAlign w:val="bottom"/>
          </w:tcPr>
          <w:p>
            <w:pPr>
              <w:rPr>
                <w:rFonts w:ascii="Tahoma" w:hAnsi="Tahoma" w:eastAsia="Tahoma" w:cs="Tahoma"/>
                <w:color w:val="000000"/>
                <w:sz w:val="24"/>
              </w:rPr>
            </w:pPr>
          </w:p>
        </w:tc>
        <w:tc>
          <w:tcPr>
            <w:tcW w:w="1080" w:type="dxa"/>
            <w:tcBorders>
              <w:top w:val="nil"/>
              <w:left w:val="nil"/>
              <w:bottom w:val="nil"/>
              <w:right w:val="nil"/>
            </w:tcBorders>
            <w:shd w:val="clear" w:color="auto" w:fill="auto"/>
            <w:tcMar>
              <w:top w:w="15" w:type="dxa"/>
              <w:left w:w="15" w:type="dxa"/>
              <w:right w:w="15" w:type="dxa"/>
            </w:tcMar>
            <w:vAlign w:val="bottom"/>
          </w:tcPr>
          <w:p>
            <w:pPr>
              <w:rPr>
                <w:rFonts w:ascii="Tahoma" w:hAnsi="Tahoma" w:eastAsia="Tahoma" w:cs="Tahoma"/>
                <w:color w:val="000000"/>
                <w:sz w:val="24"/>
              </w:rPr>
            </w:pPr>
          </w:p>
        </w:tc>
        <w:tc>
          <w:tcPr>
            <w:tcW w:w="1080" w:type="dxa"/>
            <w:tcBorders>
              <w:top w:val="nil"/>
              <w:left w:val="nil"/>
              <w:bottom w:val="nil"/>
              <w:right w:val="nil"/>
            </w:tcBorders>
            <w:shd w:val="clear" w:color="auto" w:fill="auto"/>
            <w:tcMar>
              <w:top w:w="15" w:type="dxa"/>
              <w:left w:w="15" w:type="dxa"/>
              <w:right w:w="15" w:type="dxa"/>
            </w:tcMar>
            <w:vAlign w:val="bottom"/>
          </w:tcPr>
          <w:p>
            <w:pPr>
              <w:rPr>
                <w:rFonts w:ascii="Tahoma" w:hAnsi="Tahoma" w:eastAsia="Tahoma" w:cs="Tahoma"/>
                <w:color w:val="000000"/>
                <w:sz w:val="24"/>
              </w:rPr>
            </w:pPr>
          </w:p>
        </w:tc>
        <w:tc>
          <w:tcPr>
            <w:tcW w:w="2190" w:type="dxa"/>
            <w:tcBorders>
              <w:top w:val="nil"/>
              <w:left w:val="nil"/>
              <w:bottom w:val="nil"/>
              <w:right w:val="nil"/>
            </w:tcBorders>
            <w:shd w:val="clear" w:color="auto" w:fill="auto"/>
            <w:tcMar>
              <w:top w:w="15" w:type="dxa"/>
              <w:left w:w="15" w:type="dxa"/>
              <w:right w:w="15" w:type="dxa"/>
            </w:tcMar>
            <w:vAlign w:val="bottom"/>
          </w:tcPr>
          <w:p>
            <w:pPr>
              <w:rPr>
                <w:rFonts w:ascii="Tahoma" w:hAnsi="Tahoma" w:eastAsia="Tahoma" w:cs="Tahoma"/>
                <w:color w:val="000000"/>
                <w:sz w:val="24"/>
              </w:rPr>
            </w:pPr>
          </w:p>
        </w:tc>
        <w:tc>
          <w:tcPr>
            <w:tcW w:w="1523" w:type="dxa"/>
            <w:tcBorders>
              <w:top w:val="nil"/>
              <w:left w:val="nil"/>
              <w:bottom w:val="nil"/>
              <w:right w:val="nil"/>
            </w:tcBorders>
            <w:shd w:val="clear" w:color="auto" w:fill="auto"/>
            <w:tcMar>
              <w:top w:w="15" w:type="dxa"/>
              <w:left w:w="15" w:type="dxa"/>
              <w:right w:w="15" w:type="dxa"/>
            </w:tcMar>
            <w:vAlign w:val="bottom"/>
          </w:tcPr>
          <w:p>
            <w:pPr>
              <w:rPr>
                <w:rFonts w:ascii="Tahoma" w:hAnsi="Tahoma" w:eastAsia="Tahoma" w:cs="Tahoma"/>
                <w:color w:val="000000"/>
                <w:sz w:val="24"/>
              </w:rPr>
            </w:pPr>
          </w:p>
        </w:tc>
        <w:tc>
          <w:tcPr>
            <w:tcW w:w="1297" w:type="dxa"/>
            <w:tcBorders>
              <w:top w:val="nil"/>
              <w:left w:val="nil"/>
              <w:bottom w:val="nil"/>
              <w:right w:val="nil"/>
            </w:tcBorders>
            <w:shd w:val="clear" w:color="auto" w:fill="auto"/>
            <w:tcMar>
              <w:top w:w="15" w:type="dxa"/>
              <w:left w:w="15" w:type="dxa"/>
              <w:right w:w="15" w:type="dxa"/>
            </w:tcMar>
            <w:vAlign w:val="bottom"/>
          </w:tcPr>
          <w:p>
            <w:pPr>
              <w:rPr>
                <w:rFonts w:ascii="Tahoma" w:hAnsi="Tahoma" w:eastAsia="Tahoma" w:cs="Tahoma"/>
                <w:color w:val="000000"/>
                <w:sz w:val="24"/>
              </w:rPr>
            </w:pPr>
          </w:p>
        </w:tc>
        <w:tc>
          <w:tcPr>
            <w:tcW w:w="795" w:type="dxa"/>
            <w:tcBorders>
              <w:top w:val="nil"/>
              <w:left w:val="nil"/>
              <w:bottom w:val="nil"/>
              <w:right w:val="nil"/>
            </w:tcBorders>
            <w:shd w:val="clear" w:color="auto" w:fill="auto"/>
            <w:tcMar>
              <w:top w:w="15" w:type="dxa"/>
              <w:left w:w="15" w:type="dxa"/>
              <w:right w:w="15" w:type="dxa"/>
            </w:tcMar>
            <w:vAlign w:val="bottom"/>
          </w:tcPr>
          <w:p>
            <w:pPr>
              <w:rPr>
                <w:rFonts w:ascii="Tahoma" w:hAnsi="Tahoma" w:eastAsia="Tahoma" w:cs="Tahoma"/>
                <w:color w:val="000000"/>
                <w:sz w:val="24"/>
              </w:rPr>
            </w:pPr>
          </w:p>
        </w:tc>
      </w:tr>
      <w:tr>
        <w:tblPrEx>
          <w:tblCellMar>
            <w:top w:w="0" w:type="dxa"/>
            <w:left w:w="0" w:type="dxa"/>
            <w:bottom w:w="0" w:type="dxa"/>
            <w:right w:w="0" w:type="dxa"/>
          </w:tblCellMar>
        </w:tblPrEx>
        <w:trPr>
          <w:trHeight w:val="33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项目名称</w:t>
            </w:r>
          </w:p>
        </w:tc>
        <w:tc>
          <w:tcPr>
            <w:tcW w:w="79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人事专项</w:t>
            </w:r>
          </w:p>
        </w:tc>
      </w:tr>
      <w:tr>
        <w:tblPrEx>
          <w:tblCellMar>
            <w:top w:w="0" w:type="dxa"/>
            <w:left w:w="0" w:type="dxa"/>
            <w:bottom w:w="0" w:type="dxa"/>
            <w:right w:w="0" w:type="dxa"/>
          </w:tblCellMar>
        </w:tblPrEx>
        <w:trPr>
          <w:trHeight w:val="73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项目主管部门</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洪山区教育局</w:t>
            </w:r>
          </w:p>
        </w:tc>
        <w:tc>
          <w:tcPr>
            <w:tcW w:w="21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项目执行单位</w:t>
            </w:r>
          </w:p>
        </w:tc>
        <w:tc>
          <w:tcPr>
            <w:tcW w:w="361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教育局人事科</w:t>
            </w:r>
          </w:p>
        </w:tc>
      </w:tr>
      <w:tr>
        <w:tblPrEx>
          <w:tblCellMar>
            <w:top w:w="0" w:type="dxa"/>
            <w:left w:w="0" w:type="dxa"/>
            <w:bottom w:w="0" w:type="dxa"/>
            <w:right w:w="0" w:type="dxa"/>
          </w:tblCellMar>
        </w:tblPrEx>
        <w:trPr>
          <w:trHeight w:val="3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项目资金来源</w:t>
            </w: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资金来源项目</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预算数</w:t>
            </w:r>
          </w:p>
        </w:tc>
        <w:tc>
          <w:tcPr>
            <w:tcW w:w="1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执行数</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执行率</w:t>
            </w:r>
          </w:p>
        </w:tc>
      </w:tr>
      <w:tr>
        <w:tblPrEx>
          <w:tblCellMar>
            <w:top w:w="0" w:type="dxa"/>
            <w:left w:w="0" w:type="dxa"/>
            <w:bottom w:w="0" w:type="dxa"/>
            <w:right w:w="0"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43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财政拨款收入</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ascii="宋体" w:hAnsi="宋体" w:cs="宋体"/>
                <w:color w:val="000000"/>
                <w:kern w:val="0"/>
                <w:sz w:val="24"/>
                <w:lang w:bidi="ar"/>
              </w:rPr>
              <w:t>1610.9</w:t>
            </w:r>
            <w:r>
              <w:rPr>
                <w:rFonts w:hint="eastAsia" w:ascii="宋体" w:hAnsi="宋体" w:cs="宋体"/>
                <w:color w:val="000000"/>
                <w:kern w:val="0"/>
                <w:sz w:val="24"/>
                <w:lang w:bidi="ar"/>
              </w:rPr>
              <w:t>万元</w:t>
            </w:r>
          </w:p>
        </w:tc>
        <w:tc>
          <w:tcPr>
            <w:tcW w:w="12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hint="eastAsia" w:ascii="宋体" w:hAnsi="宋体" w:eastAsia="宋体" w:cs="宋体"/>
                <w:color w:val="000000"/>
                <w:sz w:val="24"/>
                <w:lang w:eastAsia="zh-CN"/>
              </w:rPr>
            </w:pPr>
            <w:r>
              <w:rPr>
                <w:rFonts w:hint="eastAsia" w:ascii="宋体" w:hAnsi="宋体" w:cs="宋体"/>
                <w:color w:val="000000"/>
                <w:sz w:val="24"/>
              </w:rPr>
              <w:t>1610.9</w:t>
            </w:r>
            <w:r>
              <w:rPr>
                <w:rFonts w:hint="eastAsia" w:ascii="宋体" w:hAnsi="宋体" w:cs="宋体"/>
                <w:color w:val="000000"/>
                <w:sz w:val="24"/>
                <w:lang w:eastAsia="zh-CN"/>
              </w:rPr>
              <w:t>万元</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r>
        <w:tblPrEx>
          <w:tblCellMar>
            <w:top w:w="0" w:type="dxa"/>
            <w:left w:w="0" w:type="dxa"/>
            <w:bottom w:w="0" w:type="dxa"/>
            <w:right w:w="0" w:type="dxa"/>
          </w:tblCellMar>
        </w:tblPrEx>
        <w:trPr>
          <w:trHeight w:val="394" w:hRule="atLeast"/>
        </w:trPr>
        <w:tc>
          <w:tcPr>
            <w:tcW w:w="108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项目绩效年度目标</w:t>
            </w:r>
          </w:p>
          <w:p>
            <w:pPr>
              <w:jc w:val="center"/>
              <w:rPr>
                <w:rFonts w:ascii="宋体" w:hAnsi="宋体" w:cs="宋体"/>
                <w:color w:val="000000"/>
                <w:sz w:val="24"/>
              </w:rPr>
            </w:pPr>
          </w:p>
        </w:tc>
        <w:tc>
          <w:tcPr>
            <w:tcW w:w="79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年度目标设定情况</w:t>
            </w:r>
          </w:p>
        </w:tc>
      </w:tr>
      <w:tr>
        <w:tblPrEx>
          <w:tblCellMar>
            <w:top w:w="0" w:type="dxa"/>
            <w:left w:w="0" w:type="dxa"/>
            <w:bottom w:w="0" w:type="dxa"/>
            <w:right w:w="0" w:type="dxa"/>
          </w:tblCellMar>
        </w:tblPrEx>
        <w:trPr>
          <w:trHeight w:val="1762"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79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80" w:firstLineChars="200"/>
              <w:jc w:val="left"/>
              <w:textAlignment w:val="center"/>
              <w:rPr>
                <w:rFonts w:ascii="宋体" w:hAnsi="宋体" w:cs="宋体"/>
                <w:color w:val="000000"/>
                <w:sz w:val="24"/>
              </w:rPr>
            </w:pPr>
            <w:r>
              <w:rPr>
                <w:rFonts w:hint="eastAsia" w:ascii="宋体" w:hAnsi="宋体" w:cs="宋体"/>
                <w:color w:val="000000"/>
                <w:sz w:val="24"/>
              </w:rPr>
              <w:t>以《国家中长期教育改革发展纲要（2010-2020年）》为总的指导思想，深化课程教学改革和人事改革，着力加强教师队伍建设，师德师风建设，优化教师资源配置，完善教师管理制度。通过教育事业发展专项，整合学校办学资源，提高教师队伍的整体素养和科研能力，针对课程研究、队伍建设、学科活动等方面进行创新优化，培养优质师资力量，确保教育事业运行正常。</w:t>
            </w:r>
          </w:p>
        </w:tc>
      </w:tr>
      <w:tr>
        <w:tblPrEx>
          <w:tblCellMar>
            <w:top w:w="0" w:type="dxa"/>
            <w:left w:w="0" w:type="dxa"/>
            <w:bottom w:w="0" w:type="dxa"/>
            <w:right w:w="0" w:type="dxa"/>
          </w:tblCellMar>
        </w:tblPrEx>
        <w:trPr>
          <w:trHeight w:val="487"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79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年度目标完成情况</w:t>
            </w:r>
          </w:p>
        </w:tc>
      </w:tr>
      <w:tr>
        <w:tblPrEx>
          <w:tblCellMar>
            <w:top w:w="0" w:type="dxa"/>
            <w:left w:w="0" w:type="dxa"/>
            <w:bottom w:w="0" w:type="dxa"/>
            <w:right w:w="0" w:type="dxa"/>
          </w:tblCellMar>
        </w:tblPrEx>
        <w:trPr>
          <w:trHeight w:val="1695"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79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sz w:val="24"/>
              </w:rPr>
              <w:t>100%完成了绩效目标所涵盖的对于招聘、师训、职评等各校工作。</w:t>
            </w:r>
          </w:p>
        </w:tc>
      </w:tr>
      <w:tr>
        <w:tblPrEx>
          <w:tblCellMar>
            <w:top w:w="0" w:type="dxa"/>
            <w:left w:w="0" w:type="dxa"/>
            <w:bottom w:w="0" w:type="dxa"/>
            <w:right w:w="0" w:type="dxa"/>
          </w:tblCellMar>
        </w:tblPrEx>
        <w:trPr>
          <w:trHeight w:val="468"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79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绩效成效</w:t>
            </w:r>
          </w:p>
        </w:tc>
      </w:tr>
      <w:tr>
        <w:tblPrEx>
          <w:tblCellMar>
            <w:top w:w="0" w:type="dxa"/>
            <w:left w:w="0" w:type="dxa"/>
            <w:bottom w:w="0" w:type="dxa"/>
            <w:right w:w="0" w:type="dxa"/>
          </w:tblCellMar>
        </w:tblPrEx>
        <w:trPr>
          <w:trHeight w:val="1752"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79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80" w:firstLineChars="200"/>
              <w:jc w:val="left"/>
              <w:textAlignment w:val="center"/>
              <w:rPr>
                <w:rFonts w:ascii="宋体" w:hAnsi="宋体" w:cs="宋体"/>
                <w:color w:val="000000"/>
                <w:sz w:val="24"/>
              </w:rPr>
            </w:pPr>
            <w:r>
              <w:rPr>
                <w:rFonts w:hint="eastAsia" w:ascii="宋体" w:hAnsi="宋体" w:cs="宋体"/>
                <w:color w:val="000000"/>
                <w:sz w:val="24"/>
              </w:rPr>
              <w:t>1、该年度向社会提供了200多名教师岗位，解决就业问题，并向学校输送双一流学校毕业生等具备较强专业能力的新生力量。</w:t>
            </w:r>
          </w:p>
          <w:p>
            <w:pPr>
              <w:widowControl/>
              <w:ind w:firstLine="480" w:firstLineChars="200"/>
              <w:jc w:val="left"/>
              <w:textAlignment w:val="center"/>
              <w:rPr>
                <w:rFonts w:ascii="宋体" w:hAnsi="宋体" w:cs="宋体"/>
                <w:color w:val="000000"/>
                <w:sz w:val="24"/>
              </w:rPr>
            </w:pPr>
            <w:r>
              <w:rPr>
                <w:rFonts w:hint="eastAsia" w:ascii="宋体" w:hAnsi="宋体" w:cs="宋体"/>
                <w:color w:val="000000"/>
                <w:sz w:val="24"/>
              </w:rPr>
              <w:t>2、基本解决了学校因生源暴增教师岗位不足，代课教师经费保障等系列问题。</w:t>
            </w:r>
          </w:p>
          <w:p>
            <w:pPr>
              <w:widowControl/>
              <w:ind w:firstLine="480" w:firstLineChars="200"/>
              <w:jc w:val="left"/>
              <w:textAlignment w:val="center"/>
              <w:rPr>
                <w:rFonts w:ascii="宋体" w:hAnsi="宋体" w:cs="宋体"/>
                <w:color w:val="000000"/>
                <w:sz w:val="24"/>
              </w:rPr>
            </w:pPr>
            <w:bookmarkStart w:id="0" w:name="_GoBack"/>
            <w:bookmarkEnd w:id="0"/>
            <w:r>
              <w:rPr>
                <w:rFonts w:hint="eastAsia" w:ascii="宋体" w:hAnsi="宋体" w:cs="宋体"/>
                <w:color w:val="000000"/>
                <w:sz w:val="24"/>
              </w:rPr>
              <w:t>3、对评优评先、课程研究、队伍建设等方面进行了优化创新，培养了优质的师资力量，确保了教育事业运行正常</w:t>
            </w:r>
          </w:p>
        </w:tc>
      </w:tr>
      <w:tr>
        <w:tblPrEx>
          <w:tblCellMar>
            <w:top w:w="0" w:type="dxa"/>
            <w:left w:w="0" w:type="dxa"/>
            <w:bottom w:w="0" w:type="dxa"/>
            <w:right w:w="0" w:type="dxa"/>
          </w:tblCellMar>
        </w:tblPrEx>
        <w:trPr>
          <w:trHeight w:val="414"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79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发现的问题及原因</w:t>
            </w:r>
          </w:p>
        </w:tc>
      </w:tr>
      <w:tr>
        <w:tblPrEx>
          <w:tblCellMar>
            <w:top w:w="0" w:type="dxa"/>
            <w:left w:w="0" w:type="dxa"/>
            <w:bottom w:w="0" w:type="dxa"/>
            <w:right w:w="0" w:type="dxa"/>
          </w:tblCellMar>
        </w:tblPrEx>
        <w:trPr>
          <w:trHeight w:val="2038"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79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4"/>
                <w:lang w:bidi="ar"/>
              </w:rPr>
            </w:pPr>
          </w:p>
        </w:tc>
      </w:tr>
      <w:tr>
        <w:tblPrEx>
          <w:tblCellMar>
            <w:top w:w="0" w:type="dxa"/>
            <w:left w:w="0" w:type="dxa"/>
            <w:bottom w:w="0" w:type="dxa"/>
            <w:right w:w="0" w:type="dxa"/>
          </w:tblCellMar>
        </w:tblPrEx>
        <w:trPr>
          <w:trHeight w:val="394"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79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加强预算绩效管理的建议</w:t>
            </w:r>
          </w:p>
        </w:tc>
      </w:tr>
      <w:tr>
        <w:tblPrEx>
          <w:tblCellMar>
            <w:top w:w="0" w:type="dxa"/>
            <w:left w:w="0" w:type="dxa"/>
            <w:bottom w:w="0" w:type="dxa"/>
            <w:right w:w="0" w:type="dxa"/>
          </w:tblCellMar>
        </w:tblPrEx>
        <w:trPr>
          <w:trHeight w:val="1882" w:hRule="atLeast"/>
        </w:trPr>
        <w:tc>
          <w:tcPr>
            <w:tcW w:w="108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796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 w:val="24"/>
                <w:lang w:bidi="ar"/>
              </w:rPr>
            </w:pPr>
          </w:p>
        </w:tc>
      </w:tr>
    </w:tbl>
    <w:p/>
    <w:sectPr>
      <w:pgSz w:w="11906" w:h="16838"/>
      <w:pgMar w:top="820" w:right="1800" w:bottom="47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25A43"/>
    <w:multiLevelType w:val="multilevel"/>
    <w:tmpl w:val="29A25A4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C70EDB"/>
    <w:rsid w:val="000F198D"/>
    <w:rsid w:val="00221206"/>
    <w:rsid w:val="003E0944"/>
    <w:rsid w:val="004A2485"/>
    <w:rsid w:val="006F3989"/>
    <w:rsid w:val="00886067"/>
    <w:rsid w:val="009B2CFB"/>
    <w:rsid w:val="00A142C5"/>
    <w:rsid w:val="00DF662E"/>
    <w:rsid w:val="36C70EDB"/>
    <w:rsid w:val="44157C8E"/>
    <w:rsid w:val="5AA8236A"/>
    <w:rsid w:val="5E835BCB"/>
    <w:rsid w:val="668F2FE7"/>
    <w:rsid w:val="78647F07"/>
    <w:rsid w:val="7FCA4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ascii="Calibri" w:hAnsi="Calibri"/>
      <w:kern w:val="2"/>
      <w:sz w:val="18"/>
      <w:szCs w:val="18"/>
    </w:rPr>
  </w:style>
  <w:style w:type="character" w:customStyle="1" w:styleId="8">
    <w:name w:val="页脚 字符"/>
    <w:basedOn w:val="6"/>
    <w:link w:val="3"/>
    <w:qFormat/>
    <w:uiPriority w:val="0"/>
    <w:rPr>
      <w:rFonts w:ascii="Calibri" w:hAnsi="Calibri"/>
      <w:kern w:val="2"/>
      <w:sz w:val="18"/>
      <w:szCs w:val="18"/>
    </w:rPr>
  </w:style>
  <w:style w:type="character" w:customStyle="1" w:styleId="9">
    <w:name w:val="批注框文本 字符"/>
    <w:basedOn w:val="6"/>
    <w:link w:val="2"/>
    <w:qFormat/>
    <w:uiPriority w:val="0"/>
    <w:rPr>
      <w:rFonts w:ascii="Calibri" w:hAnsi="Calibri"/>
      <w:kern w:val="2"/>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489</Words>
  <Characters>2790</Characters>
  <Lines>23</Lines>
  <Paragraphs>6</Paragraphs>
  <TotalTime>35</TotalTime>
  <ScaleCrop>false</ScaleCrop>
  <LinksUpToDate>false</LinksUpToDate>
  <CharactersWithSpaces>3273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2020-09-19T07:53:00Z</dcterms:created>
  <dc:creator>kimeru潤</dc:creator>
  <cp:lastModifiedBy>馒头</cp:lastModifiedBy>
  <cp:lastPrinted>2020-09-19T09:01:00Z</cp:lastPrinted>
  <dcterms:modified xsi:type="dcterms:W3CDTF">2020-09-23T09:11:47Z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