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436"/>
        <w:gridCol w:w="904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61" w:type="dxa"/>
            <w:gridSpan w:val="4"/>
            <w:tcBorders>
              <w:top w:val="nil"/>
              <w:left w:val="nil"/>
              <w:right w:val="nil"/>
            </w:tcBorders>
            <w:noWrap w:val="0"/>
            <w:vAlign w:val="center"/>
          </w:tcPr>
          <w:p>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黑体" w:cs="Times New Roman"/>
                <w:kern w:val="0"/>
                <w:sz w:val="36"/>
                <w:szCs w:val="36"/>
              </w:rPr>
            </w:pPr>
            <w:r>
              <w:rPr>
                <w:rFonts w:hint="default" w:ascii="Times New Roman" w:hAnsi="Times New Roman" w:eastAsia="方正小标宋简体" w:cs="Times New Roman"/>
                <w:b w:val="0"/>
                <w:bCs/>
                <w:sz w:val="36"/>
                <w:szCs w:val="36"/>
              </w:rPr>
              <w:t>危险化学品生产储存企业安全风险评估诊断分级指南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35" w:type="dxa"/>
            <w:noWrap w:val="0"/>
            <w:vAlign w:val="center"/>
          </w:tcPr>
          <w:p>
            <w:pPr>
              <w:keepNext w:val="0"/>
              <w:keepLines w:val="0"/>
              <w:widowControl/>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val="0"/>
                <w:bCs/>
                <w:color w:val="000000"/>
                <w:kern w:val="0"/>
                <w:sz w:val="28"/>
                <w:szCs w:val="28"/>
              </w:rPr>
            </w:pPr>
            <w:r>
              <w:rPr>
                <w:rFonts w:hint="eastAsia" w:asciiTheme="minorEastAsia" w:hAnsiTheme="minorEastAsia" w:eastAsiaTheme="minorEastAsia" w:cstheme="minorEastAsia"/>
                <w:b w:val="0"/>
                <w:bCs/>
                <w:color w:val="000000"/>
                <w:kern w:val="0"/>
                <w:sz w:val="28"/>
                <w:szCs w:val="28"/>
              </w:rPr>
              <w:t>类别</w:t>
            </w:r>
          </w:p>
        </w:tc>
        <w:tc>
          <w:tcPr>
            <w:tcW w:w="2436" w:type="dxa"/>
            <w:noWrap w:val="0"/>
            <w:vAlign w:val="center"/>
          </w:tcPr>
          <w:p>
            <w:pPr>
              <w:keepNext w:val="0"/>
              <w:keepLines w:val="0"/>
              <w:widowControl/>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val="0"/>
                <w:bCs/>
                <w:color w:val="000000"/>
                <w:kern w:val="0"/>
                <w:sz w:val="28"/>
                <w:szCs w:val="28"/>
              </w:rPr>
            </w:pPr>
            <w:r>
              <w:rPr>
                <w:rFonts w:hint="eastAsia" w:asciiTheme="minorEastAsia" w:hAnsiTheme="minorEastAsia" w:eastAsiaTheme="minorEastAsia" w:cstheme="minorEastAsia"/>
                <w:b w:val="0"/>
                <w:bCs/>
                <w:color w:val="000000"/>
                <w:kern w:val="0"/>
                <w:sz w:val="28"/>
                <w:szCs w:val="28"/>
              </w:rPr>
              <w:t>项目（分值）</w:t>
            </w:r>
          </w:p>
        </w:tc>
        <w:tc>
          <w:tcPr>
            <w:tcW w:w="9046" w:type="dxa"/>
            <w:noWrap w:val="0"/>
            <w:vAlign w:val="center"/>
          </w:tcPr>
          <w:p>
            <w:pPr>
              <w:keepNext w:val="0"/>
              <w:keepLines w:val="0"/>
              <w:widowControl/>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val="0"/>
                <w:bCs/>
                <w:color w:val="000000"/>
                <w:kern w:val="0"/>
                <w:sz w:val="28"/>
                <w:szCs w:val="28"/>
              </w:rPr>
            </w:pPr>
            <w:r>
              <w:rPr>
                <w:rFonts w:hint="eastAsia" w:asciiTheme="minorEastAsia" w:hAnsiTheme="minorEastAsia" w:eastAsiaTheme="minorEastAsia" w:cstheme="minorEastAsia"/>
                <w:b w:val="0"/>
                <w:bCs/>
                <w:color w:val="000000"/>
                <w:kern w:val="0"/>
                <w:sz w:val="28"/>
                <w:szCs w:val="28"/>
              </w:rPr>
              <w:t>评估内容</w:t>
            </w:r>
          </w:p>
        </w:tc>
        <w:tc>
          <w:tcPr>
            <w:tcW w:w="1144" w:type="dxa"/>
            <w:noWrap w:val="0"/>
            <w:vAlign w:val="center"/>
          </w:tcPr>
          <w:p>
            <w:pPr>
              <w:keepNext w:val="0"/>
              <w:keepLines w:val="0"/>
              <w:widowControl/>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val="0"/>
                <w:bCs/>
                <w:color w:val="000000"/>
                <w:kern w:val="0"/>
                <w:sz w:val="28"/>
                <w:szCs w:val="28"/>
              </w:rPr>
            </w:pPr>
            <w:r>
              <w:rPr>
                <w:rFonts w:hint="eastAsia" w:asciiTheme="minorEastAsia" w:hAnsiTheme="minorEastAsia" w:eastAsiaTheme="minorEastAsia" w:cstheme="minorEastAsia"/>
                <w:b w:val="0"/>
                <w:bCs/>
                <w:color w:val="000000"/>
                <w:kern w:val="0"/>
                <w:sz w:val="28"/>
                <w:szCs w:val="28"/>
              </w:rPr>
              <w:t>扣分值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35"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1.固有危险性</w:t>
            </w:r>
          </w:p>
        </w:tc>
        <w:tc>
          <w:tcPr>
            <w:tcW w:w="2436"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重大危险源</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（10分）</w:t>
            </w: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1.存在一级危险化学品重大危险源的，扣10分；</w:t>
            </w:r>
          </w:p>
        </w:tc>
        <w:tc>
          <w:tcPr>
            <w:tcW w:w="1144" w:type="dxa"/>
            <w:vMerge w:val="restart"/>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2.存在二级危险化学品重大危险源的，扣8分；</w:t>
            </w:r>
          </w:p>
        </w:tc>
        <w:tc>
          <w:tcPr>
            <w:tcW w:w="1144"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b/>
                <w:bCs/>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3.存在三级危险化学品重大危险源的，扣6分；</w:t>
            </w:r>
          </w:p>
        </w:tc>
        <w:tc>
          <w:tcPr>
            <w:tcW w:w="1144"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b/>
                <w:bCs/>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4.存在四级危险化学品重大危险源的，扣4分。</w:t>
            </w:r>
          </w:p>
        </w:tc>
        <w:tc>
          <w:tcPr>
            <w:tcW w:w="1144"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b/>
                <w:bCs/>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物质危险性</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（5分）</w:t>
            </w: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5.生产、储存爆炸品的（实验室化学试剂除外），每一种扣2分；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6.生产、储存（含管道输送）氯气、光气等吸入性剧毒化学品的（实验室化学试剂除外），每一种扣2分；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7.生产、储存其他重点监管危险化学品的（实验室化学试剂除外），每一种扣0.1分。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危险化工工艺种类</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（10分）</w:t>
            </w:r>
          </w:p>
        </w:tc>
        <w:tc>
          <w:tcPr>
            <w:tcW w:w="9046"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8.涉及18种危险化工工艺的，每一种扣2分。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火灾爆炸危险性</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（5分）</w:t>
            </w:r>
          </w:p>
        </w:tc>
        <w:tc>
          <w:tcPr>
            <w:tcW w:w="9046"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 w:cs="Times New Roman"/>
                <w:color w:val="000000"/>
                <w:kern w:val="0"/>
                <w:sz w:val="22"/>
                <w:szCs w:val="20"/>
              </w:rPr>
            </w:pPr>
            <w:r>
              <w:rPr>
                <w:rFonts w:hint="default" w:ascii="Times New Roman" w:hAnsi="Times New Roman" w:eastAsia="仿宋" w:cs="Times New Roman"/>
                <w:kern w:val="0"/>
                <w:sz w:val="22"/>
                <w:szCs w:val="20"/>
              </w:rPr>
              <w:t>9.涉及甲类/乙类火灾危险性类别厂房、库房或者罐区的，每涉及一处扣1/0.5分。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 w:cs="Times New Roman"/>
                <w:color w:val="000000"/>
                <w:kern w:val="0"/>
                <w:sz w:val="22"/>
                <w:szCs w:val="20"/>
              </w:rPr>
            </w:pPr>
            <w:r>
              <w:rPr>
                <w:rFonts w:hint="default" w:ascii="Times New Roman" w:hAnsi="Times New Roman" w:eastAsia="仿宋" w:cs="Times New Roman"/>
                <w:kern w:val="0"/>
                <w:sz w:val="22"/>
                <w:szCs w:val="20"/>
              </w:rPr>
              <w:t>10.涉及甲类、乙类火灾危险性罐区、气柜与加热炉等与产生明火的设施、装置比邻布置的，扣5分。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5"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2.周边</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环境</w:t>
            </w:r>
          </w:p>
        </w:tc>
        <w:tc>
          <w:tcPr>
            <w:tcW w:w="2436"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周边环境</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（10分）</w:t>
            </w:r>
          </w:p>
        </w:tc>
        <w:tc>
          <w:tcPr>
            <w:tcW w:w="9046"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1.企业在化工园区（化工集中区）外的，扣3分；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2.企业外部安全防护距离不符合《危险化学品生产、储存装置个人可接受风险标准和社会可接受风险标准（试行）》的，扣10分。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35"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3.设计与评估</w:t>
            </w:r>
          </w:p>
        </w:tc>
        <w:tc>
          <w:tcPr>
            <w:tcW w:w="2436"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设计与评估（10分）</w:t>
            </w: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1.国内首次使用的化工工艺未经过省级人民政府有关部门组织安全可靠性论证的，扣5分；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2.精细化工企业未按规范性文件要求开展反应安全风险评估的，扣10分；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40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3.企业危险化学品生产储存装置均由甲级资质设计单位进行全面设计的，加2分。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35" w:type="dxa"/>
            <w:vMerge w:val="restart"/>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4.设备</w:t>
            </w:r>
          </w:p>
        </w:tc>
        <w:tc>
          <w:tcPr>
            <w:tcW w:w="2436"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设备</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（5分）</w:t>
            </w: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1.使用淘汰落后安全技术工艺、设备目录列出的工艺及设备的，每一项扣2分；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2.特种设备没有办理使用登记证书的，或者未按要求定期检验的，扣2分；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kern w:val="0"/>
                <w:sz w:val="22"/>
                <w:szCs w:val="20"/>
              </w:rPr>
              <w:t>3.化工生产装置未按国家标准要求设置双电源或者双回路供电的，扣5分。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35"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5.自控与</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安全设施</w:t>
            </w:r>
          </w:p>
        </w:tc>
        <w:tc>
          <w:tcPr>
            <w:tcW w:w="2436"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自控与安全设施</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（10分）</w:t>
            </w: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kern w:val="0"/>
                <w:sz w:val="22"/>
                <w:szCs w:val="20"/>
              </w:rPr>
              <w:t>1.涉及重点监管危险化工工艺的装置未按要求实现自动化控制，系统未实现紧急停车功能，装备的自动化控制系统、紧急停车系统未投入使用的，扣10分；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2.涉及毒性气体、液化气体、剧毒液体的一级、二级重大危险源的危险化学品罐区未配备独立的安全仪表系统的，扣10分；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3.构成一级、二级重大危险源的危险化学品罐区未实现紧急切断功能的，扣5分；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4.危险化学品重大危险源未设置压力、液位、温度远传监控和超限位报警装置的，</w:t>
            </w:r>
            <w:r>
              <w:rPr>
                <w:rFonts w:hint="default" w:ascii="Times New Roman" w:hAnsi="Times New Roman" w:eastAsia="仿宋" w:cs="Times New Roman"/>
                <w:kern w:val="0"/>
                <w:sz w:val="22"/>
                <w:szCs w:val="20"/>
              </w:rPr>
              <w:t>每涉及一项扣1分</w:t>
            </w:r>
            <w:r>
              <w:rPr>
                <w:rFonts w:hint="default" w:ascii="Times New Roman" w:hAnsi="Times New Roman" w:eastAsia="仿宋" w:cs="Times New Roman"/>
                <w:color w:val="000000"/>
                <w:kern w:val="0"/>
                <w:sz w:val="22"/>
                <w:szCs w:val="20"/>
              </w:rPr>
              <w:t>；</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kern w:val="0"/>
                <w:sz w:val="22"/>
                <w:szCs w:val="20"/>
              </w:rPr>
              <w:t>5.涉及可燃和有毒有害气体泄漏的场所未按国家标准设置检测声光报警设施的，每一处扣1分；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kern w:val="0"/>
                <w:sz w:val="22"/>
                <w:szCs w:val="20"/>
              </w:rPr>
              <w:t>6.防爆区域未按国家标准安装使用防爆电气设备的，每一处扣1分；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kern w:val="0"/>
                <w:sz w:val="22"/>
                <w:szCs w:val="20"/>
              </w:rPr>
              <w:t>7.甲类、乙类火灾危险性生产装置内设有办公室、操作室、固定操作岗位或休息室的，每涉及一处扣5分。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35"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6.人员</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资质</w:t>
            </w:r>
          </w:p>
        </w:tc>
        <w:tc>
          <w:tcPr>
            <w:tcW w:w="2436"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人员资质</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（15分）</w:t>
            </w:r>
          </w:p>
        </w:tc>
        <w:tc>
          <w:tcPr>
            <w:tcW w:w="9046" w:type="dxa"/>
            <w:noWrap w:val="0"/>
            <w:vAlign w:val="center"/>
          </w:tcPr>
          <w:p>
            <w:pPr>
              <w:keepNext w:val="0"/>
              <w:keepLines w:val="0"/>
              <w:widowControl/>
              <w:suppressLineNumbers w:val="0"/>
              <w:spacing w:before="0" w:beforeAutospacing="0" w:after="0" w:afterAutospacing="0" w:line="360" w:lineRule="auto"/>
              <w:ind w:left="0" w:right="0"/>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1.企业主要负责人和安全生产管理人员未依法经考核合格的，每一人次扣5分；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2.企业专职安全生产管理人员不具备国民教育化工化学类（或安全工程）中等职业教育以上学历或者化工化学类中级以上专业技术职称的，每一人次扣5分；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kern w:val="0"/>
                <w:sz w:val="22"/>
                <w:szCs w:val="20"/>
              </w:rPr>
              <w:t>3.涉及“两重点一重大”装置的生产、设备及工艺专业管理人员不具有相应专业大专以上学历的，每一人次扣5分；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4.企业未按有关要求配备注册安全工程师的，扣3分；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5.企业主要负责人、分管安全生产工作负责人、安全管理部门主要负责人为化学化工类专业毕业的，每一人次加2分。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3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7.安全管理制度</w:t>
            </w:r>
          </w:p>
        </w:tc>
        <w:tc>
          <w:tcPr>
            <w:tcW w:w="2436"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管理制度</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（10分）</w:t>
            </w: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1.未制定操作规程和工艺控制指标或者制定的操作规程和工艺控制指标不完善的，扣5分；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3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2.动火、进入受限空间等特殊作业管理制度不符合国家标准或未有效执行的，扣10分；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3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3.未建立与岗位相匹配的全员安全生产责任制的，每涉及一个岗位扣2分。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2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8.应急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管理</w:t>
            </w:r>
          </w:p>
        </w:tc>
        <w:tc>
          <w:tcPr>
            <w:tcW w:w="2436"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应急配备</w:t>
            </w:r>
          </w:p>
        </w:tc>
        <w:tc>
          <w:tcPr>
            <w:tcW w:w="9046" w:type="dxa"/>
            <w:noWrap w:val="0"/>
            <w:vAlign w:val="center"/>
          </w:tcPr>
          <w:p>
            <w:pPr>
              <w:keepNext w:val="0"/>
              <w:keepLines w:val="0"/>
              <w:widowControl/>
              <w:suppressLineNumbers w:val="0"/>
              <w:spacing w:before="0" w:beforeAutospacing="0" w:after="0" w:afterAutospacing="0" w:line="360" w:lineRule="auto"/>
              <w:ind w:left="0" w:right="0"/>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企业自设专职消防应急队伍的，加3分。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3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9.安全管理绩效</w:t>
            </w:r>
          </w:p>
        </w:tc>
        <w:tc>
          <w:tcPr>
            <w:tcW w:w="2436"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安全生产标准化达标</w:t>
            </w:r>
          </w:p>
        </w:tc>
        <w:tc>
          <w:tcPr>
            <w:tcW w:w="9046" w:type="dxa"/>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1.安全生产标准化为一级的，加15分；</w:t>
            </w:r>
          </w:p>
        </w:tc>
        <w:tc>
          <w:tcPr>
            <w:tcW w:w="1144" w:type="dxa"/>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2.安全生产标准化为二级的，加5分；</w:t>
            </w:r>
          </w:p>
        </w:tc>
        <w:tc>
          <w:tcPr>
            <w:tcW w:w="1144" w:type="dxa"/>
            <w:noWrap w:val="0"/>
            <w:vAlign w:val="top"/>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3.安全生产标准化为三级的，加2分。</w:t>
            </w:r>
          </w:p>
        </w:tc>
        <w:tc>
          <w:tcPr>
            <w:tcW w:w="1144" w:type="dxa"/>
            <w:noWrap w:val="0"/>
            <w:vAlign w:val="top"/>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安全事故情况</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000000"/>
                <w:kern w:val="0"/>
                <w:sz w:val="22"/>
                <w:szCs w:val="20"/>
              </w:rPr>
            </w:pPr>
            <w:r>
              <w:rPr>
                <w:rFonts w:hint="default" w:ascii="Times New Roman" w:hAnsi="Times New Roman" w:eastAsia="仿宋" w:cs="Times New Roman"/>
                <w:color w:val="000000"/>
                <w:kern w:val="0"/>
                <w:sz w:val="22"/>
                <w:szCs w:val="20"/>
              </w:rPr>
              <w:t>（10分）</w:t>
            </w:r>
          </w:p>
        </w:tc>
        <w:tc>
          <w:tcPr>
            <w:tcW w:w="9046" w:type="dxa"/>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4.三年内发生过1起较大安全事故的，扣10分;</w:t>
            </w:r>
          </w:p>
        </w:tc>
        <w:tc>
          <w:tcPr>
            <w:tcW w:w="1144" w:type="dxa"/>
            <w:noWrap w:val="0"/>
            <w:vAlign w:val="top"/>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b/>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5.三年内发生过1起安全事故造成1-2人死亡的，扣8分;</w:t>
            </w:r>
          </w:p>
        </w:tc>
        <w:tc>
          <w:tcPr>
            <w:tcW w:w="1144" w:type="dxa"/>
            <w:noWrap w:val="0"/>
            <w:vAlign w:val="top"/>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仿宋" w:cs="Times New Roman"/>
                <w:color w:val="000000"/>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b/>
                <w:color w:val="000000"/>
                <w:kern w:val="0"/>
                <w:sz w:val="22"/>
                <w:szCs w:val="20"/>
              </w:rPr>
            </w:pPr>
          </w:p>
        </w:tc>
        <w:tc>
          <w:tcPr>
            <w:tcW w:w="9046" w:type="dxa"/>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6.三年内发生过爆炸、着火、中毒等具有社会影响的安全事故，但未造成人员伤亡的，扣5分;</w:t>
            </w:r>
          </w:p>
        </w:tc>
        <w:tc>
          <w:tcPr>
            <w:tcW w:w="1144" w:type="dxa"/>
            <w:noWrap w:val="0"/>
            <w:vAlign w:val="top"/>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35" w:type="dxa"/>
            <w:vMerge w:val="continue"/>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p>
        </w:tc>
        <w:tc>
          <w:tcPr>
            <w:tcW w:w="2436" w:type="dxa"/>
            <w:vMerge w:val="continue"/>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p>
        </w:tc>
        <w:tc>
          <w:tcPr>
            <w:tcW w:w="9046" w:type="dxa"/>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7.五年内未发生安全事故的，加5分。</w:t>
            </w:r>
          </w:p>
        </w:tc>
        <w:tc>
          <w:tcPr>
            <w:tcW w:w="1144" w:type="dxa"/>
            <w:noWrap w:val="0"/>
            <w:vAlign w:val="top"/>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3861" w:type="dxa"/>
            <w:gridSpan w:val="4"/>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存在下列情况之一的企业直接判定为红色（最高风险等级）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717" w:type="dxa"/>
            <w:gridSpan w:val="3"/>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 xml:space="preserve">新开发的危险化学品生产工艺未经小试、中试和工业化试验直接进行工业化生产的； </w:t>
            </w:r>
          </w:p>
        </w:tc>
        <w:tc>
          <w:tcPr>
            <w:tcW w:w="1144" w:type="dxa"/>
            <w:noWrap w:val="0"/>
            <w:vAlign w:val="top"/>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17" w:type="dxa"/>
            <w:gridSpan w:val="3"/>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在役化工装置未经正规设计且未进行安全设计诊断的；</w:t>
            </w:r>
          </w:p>
        </w:tc>
        <w:tc>
          <w:tcPr>
            <w:tcW w:w="1144" w:type="dxa"/>
            <w:noWrap w:val="0"/>
            <w:vAlign w:val="top"/>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17" w:type="dxa"/>
            <w:gridSpan w:val="3"/>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 xml:space="preserve">危险化学品特种作业人员未持有效证件上岗或者未达到高中以上文化程度的; </w:t>
            </w:r>
          </w:p>
        </w:tc>
        <w:tc>
          <w:tcPr>
            <w:tcW w:w="1144" w:type="dxa"/>
            <w:noWrap w:val="0"/>
            <w:vAlign w:val="top"/>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17" w:type="dxa"/>
            <w:gridSpan w:val="3"/>
            <w:noWrap w:val="0"/>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三年内发生过重大以上安全事故的，或者三年内发生2起较大安全事故，或者近一年内发生2起以上亡人一般安全事故的。</w:t>
            </w:r>
          </w:p>
        </w:tc>
        <w:tc>
          <w:tcPr>
            <w:tcW w:w="1144" w:type="dxa"/>
            <w:noWrap w:val="0"/>
            <w:vAlign w:val="top"/>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仿宋" w:cs="Times New Roman"/>
                <w:color w:val="000000"/>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3861" w:type="dxa"/>
            <w:gridSpan w:val="4"/>
            <w:noWrap w:val="0"/>
            <w:vAlign w:val="top"/>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备注： 1.安全风险从高到低依次对应为红色、橙色、黄色、蓝色。总分在90分以上（含90分）的为蓝色；75分（含75分）至90分的为黄色；60分（含60分）至75分的为橙色；60分以下的为红色。</w:t>
            </w:r>
          </w:p>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 xml:space="preserve">       2.每个项目分值扣完为止，最低为0分。</w:t>
            </w:r>
          </w:p>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 xml:space="preserve">       3.储存企业指带储存的经营企业。</w:t>
            </w:r>
          </w:p>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 w:cs="Times New Roman"/>
                <w:kern w:val="0"/>
                <w:sz w:val="22"/>
                <w:szCs w:val="20"/>
              </w:rPr>
            </w:pPr>
            <w:r>
              <w:rPr>
                <w:rFonts w:hint="default" w:ascii="Times New Roman" w:hAnsi="Times New Roman" w:eastAsia="仿宋" w:cs="Times New Roman"/>
                <w:kern w:val="0"/>
                <w:sz w:val="22"/>
                <w:szCs w:val="20"/>
              </w:rPr>
              <w:t xml:space="preserve">       4.加油站不涉及2.1、6.2、6.4扣分项。</w:t>
            </w:r>
          </w:p>
        </w:tc>
      </w:tr>
    </w:tbl>
    <w:p>
      <w:pPr>
        <w:rPr>
          <w:rFonts w:hint="default"/>
        </w:rPr>
      </w:pPr>
      <w:bookmarkStart w:id="0" w:name="_GoBack"/>
      <w:bookmarkEnd w:id="0"/>
    </w:p>
    <w:sectPr>
      <w:headerReference r:id="rId3" w:type="default"/>
      <w:footerReference r:id="rId4" w:type="default"/>
      <w:pgSz w:w="16838" w:h="11906" w:orient="landscape"/>
      <w:pgMar w:top="1587" w:right="2098" w:bottom="1474" w:left="1984" w:header="851" w:footer="992" w:gutter="0"/>
      <w:pgNumType w:fmt="numberInDash"/>
      <w:cols w:space="720" w:num="1"/>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公文小标宋简">
    <w:altName w:val="黑体"/>
    <w:panose1 w:val="0201060901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tabs>
        <w:tab w:val="clear" w:pos="4153"/>
        <w:tab w:val="clear" w:pos="8306"/>
      </w:tabs>
      <w:kinsoku/>
      <w:wordWrap/>
      <w:overflowPunct/>
      <w:topLinePunct w:val="0"/>
      <w:autoSpaceDE/>
      <w:autoSpaceDN/>
      <w:bidi w:val="0"/>
      <w:adjustRightInd/>
      <w:snapToGrid w:val="0"/>
      <w:spacing w:line="20" w:lineRule="exact"/>
      <w:ind w:left="351" w:right="363"/>
      <w:jc w:val="right"/>
      <w:textAlignment w:val="auto"/>
      <w:rPr>
        <w:rFonts w:hint="eastAsia"/>
      </w:rPr>
    </w:pPr>
  </w:p>
  <w:p>
    <w:pPr>
      <w:pStyle w:val="9"/>
      <w:tabs>
        <w:tab w:val="clear" w:pos="4153"/>
        <w:tab w:val="clear" w:pos="8306"/>
      </w:tabs>
      <w:ind w:left="350"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5"/>
  <w:hyphenationZone w:val="360"/>
  <w:drawingGridHorizontalSpacing w:val="311"/>
  <w:drawingGridVerticalSpacing w:val="573"/>
  <w:displayHorizontalDrawingGridEvery w:val="0"/>
  <w:displayVerticalDrawingGridEvery w:val="1"/>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YTgxNTk1ZDk2Y2IwYWYwNTA0MGRhNjQyZWRkNzgifQ=="/>
  </w:docVars>
  <w:rsids>
    <w:rsidRoot w:val="00154FB3"/>
    <w:rsid w:val="00071FEF"/>
    <w:rsid w:val="00154FB3"/>
    <w:rsid w:val="004114B8"/>
    <w:rsid w:val="005842C3"/>
    <w:rsid w:val="0068311D"/>
    <w:rsid w:val="00776842"/>
    <w:rsid w:val="00785FEA"/>
    <w:rsid w:val="009163B4"/>
    <w:rsid w:val="009810F2"/>
    <w:rsid w:val="009C1E73"/>
    <w:rsid w:val="00B114A2"/>
    <w:rsid w:val="00B16835"/>
    <w:rsid w:val="00DC216D"/>
    <w:rsid w:val="00E52756"/>
    <w:rsid w:val="00F17937"/>
    <w:rsid w:val="00F37961"/>
    <w:rsid w:val="04BF96B3"/>
    <w:rsid w:val="1B052DEA"/>
    <w:rsid w:val="1BE63D0C"/>
    <w:rsid w:val="217E09EF"/>
    <w:rsid w:val="24A02574"/>
    <w:rsid w:val="29AD01C6"/>
    <w:rsid w:val="3B87BF86"/>
    <w:rsid w:val="3BDB7D90"/>
    <w:rsid w:val="3F7D4490"/>
    <w:rsid w:val="3FF7145B"/>
    <w:rsid w:val="49B37D64"/>
    <w:rsid w:val="520B4373"/>
    <w:rsid w:val="52642270"/>
    <w:rsid w:val="654E394E"/>
    <w:rsid w:val="6B767F5B"/>
    <w:rsid w:val="6EFD9532"/>
    <w:rsid w:val="BFF677F5"/>
    <w:rsid w:val="BFFD5090"/>
    <w:rsid w:val="FFFDE3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keepLines/>
      <w:adjustRightInd w:val="0"/>
      <w:jc w:val="distribute"/>
      <w:outlineLvl w:val="0"/>
    </w:pPr>
    <w:rPr>
      <w:rFonts w:eastAsia="公文小标宋简"/>
      <w:b/>
      <w:color w:val="FF0000"/>
      <w:kern w:val="44"/>
      <w:sz w:val="72"/>
    </w:rPr>
  </w:style>
  <w:style w:type="paragraph" w:styleId="4">
    <w:name w:val="heading 2"/>
    <w:basedOn w:val="1"/>
    <w:next w:val="5"/>
    <w:semiHidden/>
    <w:unhideWhenUsed/>
    <w:qFormat/>
    <w:uiPriority w:val="0"/>
    <w:pPr>
      <w:keepNext/>
      <w:keepLines/>
      <w:spacing w:before="260" w:after="260" w:line="416" w:lineRule="auto"/>
      <w:outlineLvl w:val="1"/>
    </w:pPr>
    <w:rPr>
      <w:rFonts w:ascii="Arial" w:hAnsi="Arial" w:eastAsia="黑体"/>
      <w:b/>
    </w:rPr>
  </w:style>
  <w:style w:type="paragraph" w:styleId="6">
    <w:name w:val="heading 3"/>
    <w:basedOn w:val="1"/>
    <w:next w:val="5"/>
    <w:semiHidden/>
    <w:unhideWhenUsed/>
    <w:qFormat/>
    <w:uiPriority w:val="0"/>
    <w:pPr>
      <w:keepNext/>
      <w:keepLines/>
      <w:spacing w:before="1000" w:after="400"/>
      <w:jc w:val="center"/>
      <w:outlineLvl w:val="2"/>
    </w:pPr>
    <w:rPr>
      <w:rFonts w:ascii="公文小标宋简" w:eastAsia="公文小标宋简"/>
      <w:sz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Normal Indent"/>
    <w:basedOn w:val="1"/>
    <w:qFormat/>
    <w:uiPriority w:val="0"/>
    <w:pPr>
      <w:ind w:firstLine="630"/>
    </w:pPr>
    <w:rPr>
      <w:kern w:val="0"/>
    </w:rPr>
  </w:style>
  <w:style w:type="paragraph" w:styleId="7">
    <w:name w:val="Body Text Indent"/>
    <w:next w:val="5"/>
    <w:qFormat/>
    <w:uiPriority w:val="99"/>
    <w:pPr>
      <w:widowControl w:val="0"/>
      <w:ind w:firstLine="640" w:firstLineChars="200"/>
      <w:jc w:val="both"/>
    </w:pPr>
    <w:rPr>
      <w:rFonts w:hint="default" w:ascii="Times New Roman" w:hAnsi="Times New Roman" w:eastAsia="仿宋_GB2312" w:cs="Times New Roman"/>
      <w:kern w:val="0"/>
      <w:sz w:val="28"/>
      <w:szCs w:val="22"/>
      <w:lang w:val="en-US" w:eastAsia="zh-CN" w:bidi="ar-SA"/>
    </w:rPr>
  </w:style>
  <w:style w:type="paragraph" w:styleId="8">
    <w:name w:val="Date"/>
    <w:basedOn w:val="1"/>
    <w:next w:val="1"/>
    <w:qFormat/>
    <w:uiPriority w:val="0"/>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Body Text First Indent 2"/>
    <w:next w:val="1"/>
    <w:qFormat/>
    <w:uiPriority w:val="0"/>
    <w:pPr>
      <w:widowControl w:val="0"/>
      <w:spacing w:after="0"/>
      <w:ind w:left="420" w:leftChars="200" w:firstLine="420" w:firstLineChars="200"/>
      <w:jc w:val="both"/>
    </w:pPr>
    <w:rPr>
      <w:rFonts w:ascii="Calibri" w:hAnsi="Calibri" w:eastAsia="宋体" w:cs="Times New Roman"/>
      <w:kern w:val="2"/>
      <w:sz w:val="32"/>
      <w:szCs w:val="24"/>
      <w:lang w:val="en-US" w:eastAsia="zh-CN" w:bidi="ar-SA"/>
    </w:rPr>
  </w:style>
  <w:style w:type="character" w:styleId="14">
    <w:name w:val="page number"/>
    <w:basedOn w:val="13"/>
    <w:qFormat/>
    <w:uiPriority w:val="0"/>
    <w:rPr>
      <w:rFonts w:eastAsia="宋体"/>
      <w:sz w:val="28"/>
    </w:rPr>
  </w:style>
  <w:style w:type="paragraph" w:customStyle="1" w:styleId="15">
    <w:name w:val="主题词"/>
    <w:basedOn w:val="1"/>
    <w:qFormat/>
    <w:uiPriority w:val="0"/>
    <w:pPr>
      <w:framePr w:wrap="notBeside" w:vAnchor="margin" w:hAnchor="margin" w:yAlign="bottom"/>
      <w:ind w:left="1246" w:hanging="1246"/>
    </w:pPr>
    <w:rPr>
      <w:rFonts w:eastAsia="公文小标宋简"/>
    </w:rPr>
  </w:style>
  <w:style w:type="paragraph" w:customStyle="1" w:styleId="16">
    <w:name w:val="抄 送"/>
    <w:basedOn w:val="15"/>
    <w:qFormat/>
    <w:uiPriority w:val="0"/>
    <w:pPr>
      <w:ind w:left="0" w:firstLine="0"/>
    </w:pPr>
    <w:rPr>
      <w:rFonts w:eastAsia="仿宋_GB2312"/>
    </w:rPr>
  </w:style>
  <w:style w:type="paragraph" w:customStyle="1" w:styleId="17">
    <w:name w:val="附件"/>
    <w:basedOn w:val="1"/>
    <w:qFormat/>
    <w:uiPriority w:val="0"/>
    <w:pPr>
      <w:ind w:left="1638" w:hanging="1016"/>
    </w:pPr>
  </w:style>
  <w:style w:type="paragraph" w:customStyle="1" w:styleId="18">
    <w:name w:val="秘密紧急"/>
    <w:basedOn w:val="1"/>
    <w:qFormat/>
    <w:uiPriority w:val="0"/>
    <w:pPr>
      <w:jc w:val="right"/>
    </w:pPr>
    <w:rPr>
      <w:rFonts w:ascii="黑体" w:eastAsia="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t\apps\cn.wps.wps-office-pro\files\kingsoft\wps-office\office6\C:\Users\Administrator\AppData\Roaming\Microsoft\Templates\&#22269;&#26631;&#20844;&#25991;&#27169;&#26495;\X0%20&#20844;&#25991;_&#31354;&#3033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16</Pages>
  <Words>6049</Words>
  <Characters>6201</Characters>
  <Lines>0</Lines>
  <Paragraphs>0</Paragraphs>
  <TotalTime>2</TotalTime>
  <ScaleCrop>false</ScaleCrop>
  <LinksUpToDate>false</LinksUpToDate>
  <CharactersWithSpaces>6906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Administrator.HY-20181115BPXI</dc:creator>
  <cp:lastModifiedBy>悠幽尤柚~四釉</cp:lastModifiedBy>
  <cp:lastPrinted>2000-12-01T06:55:00Z</cp:lastPrinted>
  <dcterms:modified xsi:type="dcterms:W3CDTF">2023-01-04T09:09:55Z</dcterms:modified>
  <dc:title>市应急管理局关于印发武汉市危险</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文种">
    <vt:lpwstr>unknow</vt:lpwstr>
  </property>
  <property fmtid="{D5CDD505-2E9C-101B-9397-08002B2CF9AE}" pid="4" name="ICV">
    <vt:lpwstr>CFE38985C85441E8B30BF33F0163929B</vt:lpwstr>
  </property>
</Properties>
</file>